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方正小标宋简体" w:cs="Times New Roman"/>
          <w:kern w:val="36"/>
          <w:sz w:val="36"/>
          <w:szCs w:val="36"/>
          <w14:ligatures w14:val="none"/>
        </w:rPr>
      </w:pPr>
      <w:r>
        <w:rPr>
          <w:rFonts w:hint="eastAsia" w:ascii="Times New Roman" w:hAnsi="Times New Roman" w:eastAsia="方正小标宋简体" w:cs="Times New Roman"/>
          <w:kern w:val="36"/>
          <w:sz w:val="36"/>
          <w:szCs w:val="36"/>
          <w:lang w:eastAsia="zh-CN"/>
          <w14:ligatures w14:val="none"/>
        </w:rPr>
        <w:t>湖州市第三人民医院</w:t>
      </w:r>
      <w:r>
        <w:rPr>
          <w:rFonts w:ascii="Times New Roman" w:hAnsi="Times New Roman" w:eastAsia="方正小标宋简体" w:cs="Times New Roman"/>
          <w:kern w:val="36"/>
          <w:sz w:val="36"/>
          <w:szCs w:val="36"/>
          <w14:ligatures w14:val="none"/>
        </w:rPr>
        <w:t>能源审计</w:t>
      </w:r>
    </w:p>
    <w:p>
      <w:pPr>
        <w:widowControl/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方正小标宋简体" w:cs="Times New Roman"/>
          <w:kern w:val="36"/>
          <w:sz w:val="36"/>
          <w:szCs w:val="36"/>
          <w14:ligatures w14:val="none"/>
        </w:rPr>
      </w:pPr>
      <w:r>
        <w:rPr>
          <w:rFonts w:ascii="Times New Roman" w:hAnsi="Times New Roman" w:eastAsia="方正小标宋简体" w:cs="Times New Roman"/>
          <w:kern w:val="36"/>
          <w:sz w:val="36"/>
          <w:szCs w:val="36"/>
          <w14:ligatures w14:val="none"/>
        </w:rPr>
        <w:t>评估服务</w:t>
      </w:r>
      <w:r>
        <w:rPr>
          <w:rFonts w:hint="eastAsia" w:ascii="Times New Roman" w:hAnsi="Times New Roman" w:eastAsia="方正小标宋简体" w:cs="Times New Roman"/>
          <w:kern w:val="36"/>
          <w:sz w:val="36"/>
          <w:szCs w:val="36"/>
          <w:lang w:val="en-US" w:eastAsia="zh-CN"/>
          <w14:ligatures w14:val="none"/>
        </w:rPr>
        <w:t>市场预算调研技术</w:t>
      </w:r>
      <w:r>
        <w:rPr>
          <w:rFonts w:ascii="Times New Roman" w:hAnsi="Times New Roman" w:eastAsia="方正小标宋简体" w:cs="Times New Roman"/>
          <w:kern w:val="36"/>
          <w:sz w:val="36"/>
          <w:szCs w:val="36"/>
          <w14:ligatures w14:val="none"/>
        </w:rPr>
        <w:t>需求</w:t>
      </w:r>
    </w:p>
    <w:p>
      <w:pPr>
        <w:widowControl/>
        <w:spacing w:after="0" w:line="240" w:lineRule="auto"/>
        <w:ind w:firstLine="640" w:firstLineChars="200"/>
        <w:jc w:val="both"/>
        <w:outlineLvl w:val="1"/>
        <w:rPr>
          <w:rFonts w:ascii="Times New Roman" w:hAnsi="Times New Roman" w:eastAsia="黑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黑体" w:cs="Times New Roman"/>
          <w:kern w:val="0"/>
          <w:sz w:val="32"/>
          <w:szCs w:val="32"/>
          <w14:ligatures w14:val="none"/>
        </w:rPr>
        <w:t>一、项目概况及服务范围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为进一步提升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  <w14:ligatures w14:val="none"/>
        </w:rPr>
        <w:t>湖州市第三人民医院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能源使用效率，夯实医院能源精细化管理基础，为医院后续综合能源费用托管服务项目提供科学、客观、可</w:t>
      </w:r>
      <w:bookmarkStart w:id="0" w:name="_GoBack"/>
      <w:bookmarkEnd w:id="0"/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落地的能耗基线、能耗预测、节能潜力等核心技术依据，现开展全院能源审计评估服务工作。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本次审计评估在不改变医院现有建筑、设备及运营现状前提下，完成医院能源现状全面评价、能耗分析、能耗基线核定及能耗预测分析工作。审计评估范围包含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  <w14:ligatures w14:val="none"/>
        </w:rPr>
        <w:t>湖州市第三人民医院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建筑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  <w14:ligatures w14:val="none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  <w14:ligatures w14:val="none"/>
        </w:rPr>
        <w:t>建筑面积约64000平方米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  <w14:ligatures w14:val="none"/>
        </w:rPr>
        <w:t>主要建筑为医疗综合楼、精神科病房楼、后勤楼及其他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附属用房等全部建筑。</w:t>
      </w:r>
    </w:p>
    <w:p>
      <w:pPr>
        <w:widowControl/>
        <w:spacing w:after="0" w:line="240" w:lineRule="auto"/>
        <w:ind w:firstLine="560" w:firstLineChars="200"/>
        <w:jc w:val="both"/>
        <w:rPr>
          <w:rFonts w:ascii="楷体_GB2312" w:hAnsi="楷体_GB2312" w:eastAsia="楷体_GB2312" w:cs="Times New Roman"/>
          <w:kern w:val="0"/>
          <w:sz w:val="28"/>
          <w:szCs w:val="28"/>
          <w14:ligatures w14:val="none"/>
        </w:rPr>
      </w:pPr>
      <w:r>
        <w:rPr>
          <w:rFonts w:hint="eastAsia" w:ascii="楷体_GB2312" w:hAnsi="楷体_GB2312" w:eastAsia="楷体_GB2312" w:cs="Times New Roman"/>
          <w:kern w:val="0"/>
          <w:sz w:val="28"/>
          <w:szCs w:val="28"/>
          <w14:ligatures w14:val="none"/>
        </w:rPr>
        <w:t>*</w:t>
      </w:r>
      <w:r>
        <w:rPr>
          <w:rFonts w:ascii="楷体_GB2312" w:hAnsi="楷体_GB2312" w:eastAsia="楷体_GB2312" w:cs="Times New Roman"/>
          <w:kern w:val="0"/>
          <w:sz w:val="28"/>
          <w:szCs w:val="28"/>
          <w14:ligatures w14:val="none"/>
        </w:rPr>
        <w:t>特别说明：医院为三级甲等</w:t>
      </w:r>
      <w:r>
        <w:rPr>
          <w:rFonts w:hint="eastAsia" w:ascii="楷体_GB2312" w:hAnsi="楷体_GB2312" w:eastAsia="楷体_GB2312" w:cs="Times New Roman"/>
          <w:kern w:val="0"/>
          <w:sz w:val="28"/>
          <w:szCs w:val="28"/>
          <w:lang w:eastAsia="zh-CN"/>
          <w14:ligatures w14:val="none"/>
        </w:rPr>
        <w:t>精神专科</w:t>
      </w:r>
      <w:r>
        <w:rPr>
          <w:rFonts w:ascii="楷体_GB2312" w:hAnsi="楷体_GB2312" w:eastAsia="楷体_GB2312" w:cs="Times New Roman"/>
          <w:kern w:val="0"/>
          <w:sz w:val="28"/>
          <w:szCs w:val="28"/>
          <w14:ligatures w14:val="none"/>
        </w:rPr>
        <w:t>医院，24小时不间断运行，包含手术室、ICU、消毒供应中心、数据中心机房等特殊高能耗功能区域，现场勘查、数据采集工作不得干扰正常医疗业务与后勤保障秩序</w:t>
      </w:r>
    </w:p>
    <w:p>
      <w:pPr>
        <w:widowControl/>
        <w:spacing w:after="0" w:line="240" w:lineRule="auto"/>
        <w:ind w:firstLine="640" w:firstLineChars="200"/>
        <w:jc w:val="both"/>
        <w:outlineLvl w:val="1"/>
        <w:rPr>
          <w:rFonts w:ascii="Times New Roman" w:hAnsi="Times New Roman" w:eastAsia="黑体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14:ligatures w14:val="none"/>
        </w:rPr>
        <w:t>二、</w:t>
      </w:r>
      <w:r>
        <w:rPr>
          <w:rFonts w:ascii="Times New Roman" w:hAnsi="Times New Roman" w:eastAsia="黑体" w:cs="Times New Roman"/>
          <w:kern w:val="0"/>
          <w:sz w:val="32"/>
          <w:szCs w:val="32"/>
          <w14:ligatures w14:val="none"/>
        </w:rPr>
        <w:t>本项目供应商特有资质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1.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  <w14:ligatures w14:val="none"/>
        </w:rPr>
        <w:t>能源审计单位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应具备能源评估相关工作能力，营业执照经营范围包含合同能源管理、节能管理服务、环保咨询服务、能源审计评估等相关经营类目。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2.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  <w14:ligatures w14:val="none"/>
        </w:rPr>
        <w:t>能源审计单位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应具备能源审计评估工作经验与技术实施能力，须提供近3年（2023年起）公共机构（医疗机构）能源审计评估相关业绩证明材料，提供合同关键页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或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验收证明，业绩材料需清晰体现服务对象、服务内容、服务时间。</w:t>
      </w:r>
    </w:p>
    <w:p>
      <w:pPr>
        <w:widowControl/>
        <w:spacing w:after="0" w:line="240" w:lineRule="auto"/>
        <w:ind w:left="72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3.本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项目不接受联合体投标。</w:t>
      </w:r>
    </w:p>
    <w:p>
      <w:pPr>
        <w:widowControl/>
        <w:spacing w:after="0" w:line="240" w:lineRule="auto"/>
        <w:ind w:firstLine="560" w:firstLineChars="200"/>
        <w:jc w:val="both"/>
        <w:rPr>
          <w:rFonts w:ascii="楷体_GB2312" w:hAnsi="楷体_GB2312" w:eastAsia="楷体_GB2312" w:cs="Times New Roman"/>
          <w:kern w:val="0"/>
          <w:sz w:val="28"/>
          <w:szCs w:val="28"/>
          <w14:ligatures w14:val="none"/>
        </w:rPr>
      </w:pPr>
      <w:r>
        <w:rPr>
          <w:rFonts w:ascii="楷体_GB2312" w:hAnsi="楷体_GB2312" w:eastAsia="楷体_GB2312" w:cs="Times New Roman"/>
          <w:kern w:val="0"/>
          <w:sz w:val="28"/>
          <w:szCs w:val="28"/>
          <w14:ligatures w14:val="none"/>
        </w:rPr>
        <w:t>备注：供应商</w:t>
      </w:r>
      <w:r>
        <w:rPr>
          <w:rFonts w:hint="eastAsia" w:ascii="楷体_GB2312" w:hAnsi="楷体_GB2312" w:eastAsia="楷体_GB2312" w:cs="Times New Roman"/>
          <w:kern w:val="0"/>
          <w:sz w:val="28"/>
          <w:szCs w:val="28"/>
          <w14:ligatures w14:val="none"/>
        </w:rPr>
        <w:t>进入第三方节能量审核机构目录或为</w:t>
      </w:r>
      <w:r>
        <w:rPr>
          <w:rFonts w:ascii="楷体_GB2312" w:hAnsi="楷体_GB2312" w:eastAsia="楷体_GB2312" w:cs="Times New Roman"/>
          <w:kern w:val="0"/>
          <w:sz w:val="28"/>
          <w:szCs w:val="28"/>
          <w14:ligatures w14:val="none"/>
        </w:rPr>
        <w:t>工信部</w:t>
      </w:r>
      <w:r>
        <w:rPr>
          <w:rFonts w:hint="eastAsia" w:ascii="楷体_GB2312" w:hAnsi="楷体_GB2312" w:eastAsia="楷体_GB2312" w:cs="Times New Roman"/>
          <w:kern w:val="0"/>
          <w:sz w:val="28"/>
          <w:szCs w:val="28"/>
          <w14:ligatures w14:val="none"/>
        </w:rPr>
        <w:t>节能诊断服务提供单位</w:t>
      </w:r>
      <w:r>
        <w:rPr>
          <w:rFonts w:ascii="楷体_GB2312" w:hAnsi="楷体_GB2312" w:eastAsia="楷体_GB2312" w:cs="Times New Roman"/>
          <w:kern w:val="0"/>
          <w:sz w:val="28"/>
          <w:szCs w:val="28"/>
          <w14:ligatures w14:val="none"/>
        </w:rPr>
        <w:t>的，将在评标环节作为评审加分项，不属于本项目资格准入条件</w:t>
      </w:r>
      <w:r>
        <w:rPr>
          <w:rFonts w:hint="eastAsia" w:ascii="楷体_GB2312" w:hAnsi="楷体_GB2312" w:eastAsia="楷体_GB2312" w:cs="Times New Roman"/>
          <w:kern w:val="0"/>
          <w:sz w:val="28"/>
          <w:szCs w:val="28"/>
          <w14:ligatures w14:val="none"/>
        </w:rPr>
        <w:t>。</w:t>
      </w:r>
    </w:p>
    <w:p>
      <w:pPr>
        <w:widowControl/>
        <w:spacing w:after="0" w:line="240" w:lineRule="auto"/>
        <w:ind w:firstLine="640" w:firstLineChars="200"/>
        <w:jc w:val="both"/>
        <w:outlineLvl w:val="1"/>
        <w:rPr>
          <w:rFonts w:ascii="Times New Roman" w:hAnsi="Times New Roman" w:eastAsia="黑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黑体" w:cs="Times New Roman"/>
          <w:kern w:val="0"/>
          <w:sz w:val="32"/>
          <w:szCs w:val="32"/>
          <w14:ligatures w14:val="none"/>
        </w:rPr>
        <w:t>三、能源评估依据</w:t>
      </w:r>
    </w:p>
    <w:p>
      <w:pPr>
        <w:widowControl/>
        <w:spacing w:after="0" w:line="240" w:lineRule="auto"/>
        <w:ind w:firstLine="643" w:firstLineChars="200"/>
        <w:jc w:val="both"/>
        <w:outlineLvl w:val="2"/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  <w:t>（一）法律法规依据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《中华人民共和国节约能源法》《公共机构节能条例》《民用建筑节能条例》等。</w:t>
      </w:r>
    </w:p>
    <w:p>
      <w:pPr>
        <w:widowControl/>
        <w:spacing w:after="0" w:line="240" w:lineRule="auto"/>
        <w:ind w:firstLine="643" w:firstLineChars="200"/>
        <w:jc w:val="both"/>
        <w:outlineLvl w:val="2"/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  <w:t>（二）规章政策依据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《公共机构能源审计管理暂行办法》《国家机关办公建筑和大型公共建筑能源审计导则》《关于鼓励和支持公共机构采用能源费用托管服务的意见》等。</w:t>
      </w:r>
    </w:p>
    <w:p>
      <w:pPr>
        <w:widowControl/>
        <w:spacing w:after="0" w:line="240" w:lineRule="auto"/>
        <w:ind w:left="653"/>
        <w:jc w:val="both"/>
        <w:outlineLvl w:val="2"/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</w:pPr>
      <w:r>
        <w:rPr>
          <w:rFonts w:hint="eastAsia"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  <w:t>（三）</w:t>
      </w:r>
      <w:r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  <w:t>技术标准依据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1.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国家及行业标准：《公共机构能源审计技术导则》（GB/T31342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noBreakHyphen/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2014）、《公共建筑节能设计标准》（GB 50189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noBreakHyphen/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201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）、《公共建筑节能检测标准》（JGJ/T177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noBreakHyphen/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2009）、《综合能耗计算通则》（GB/T2589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noBreakHyphen/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2020）、《用能单位能源计量器具配备和管理通则》（GB17167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noBreakHyphen/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20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25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）、《能源管理体系要求及使用指南》（GB/T 23331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noBreakHyphen/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2020）。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2.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地方标准与规程：《浙江省医疗机构能耗定额及计算方法》（DB33/T 738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noBreakHyphen/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2021）、《公共机构能源费用托管实施规程》（JS/T 301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noBreakHyphen/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2024）、《浙江省“十五五”“双碳”引领公共机构全面绿色转型发展指导意见》、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《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浙江省用（取）水定额（2019年）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》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等。</w:t>
      </w:r>
    </w:p>
    <w:p>
      <w:pPr>
        <w:widowControl/>
        <w:spacing w:after="0" w:line="240" w:lineRule="auto"/>
        <w:ind w:firstLine="640" w:firstLineChars="200"/>
        <w:jc w:val="both"/>
        <w:outlineLvl w:val="1"/>
        <w:rPr>
          <w:rFonts w:ascii="黑体" w:hAnsi="黑体" w:eastAsia="黑体" w:cs="Times New Roman"/>
          <w:kern w:val="0"/>
          <w:sz w:val="32"/>
          <w:szCs w:val="32"/>
          <w14:ligatures w14:val="none"/>
        </w:rPr>
      </w:pPr>
      <w:r>
        <w:rPr>
          <w:rFonts w:ascii="黑体" w:hAnsi="黑体" w:eastAsia="黑体" w:cs="Times New Roman"/>
          <w:kern w:val="0"/>
          <w:sz w:val="32"/>
          <w:szCs w:val="32"/>
          <w14:ligatures w14:val="none"/>
        </w:rPr>
        <w:t>四、具体服务要求</w:t>
      </w:r>
    </w:p>
    <w:p>
      <w:pPr>
        <w:widowControl/>
        <w:spacing w:after="0" w:line="240" w:lineRule="auto"/>
        <w:ind w:firstLine="643" w:firstLineChars="200"/>
        <w:jc w:val="both"/>
        <w:outlineLvl w:val="2"/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  <w:t>（一）明确评估范围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评估数据时间跨度为2024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noBreakHyphen/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2026年度，覆盖全院水、电、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  <w14:ligatures w14:val="none"/>
        </w:rPr>
        <w:t>热力三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类主要能源资源消耗。评估对象包含全院主要用能设备及系统：中央空调冷热源系统、锅炉/蒸汽系统、生活热水系统、供配电系统、给排水及供水系统、照明系统、电梯系统、数据中心机房系统、医疗专用高能耗设备等。需对上述系统对应的能源消耗、能源计量配置与统计现状、设备运行效率、存在问题开展全面评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  <w14:ligatures w14:val="none"/>
        </w:rPr>
        <w:t>、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统计与分析。</w:t>
      </w:r>
    </w:p>
    <w:p>
      <w:pPr>
        <w:widowControl/>
        <w:spacing w:after="0" w:line="240" w:lineRule="auto"/>
        <w:ind w:firstLine="643" w:firstLineChars="200"/>
        <w:jc w:val="both"/>
        <w:outlineLvl w:val="2"/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</w:pPr>
      <w:r>
        <w:rPr>
          <w:rFonts w:hint="eastAsia"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  <w:t>（二）</w:t>
      </w:r>
      <w:r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  <w:t>数据收集和分析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1.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  <w14:ligatures w14:val="none"/>
        </w:rPr>
        <w:t>能源审计单位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须组建专项现场技术团队，现场技术人员不少于3人，其中至少1人具备能源、暖通、电力相关专业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高级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职称或同等工作经验。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2.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技术团队通过资料调取、台账查阅、现场勘查相结合方式，完整收集2024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noBreakHyphen/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2026年度电、水、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  <w14:ligatures w14:val="none"/>
        </w:rPr>
        <w:t>热力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月度、年度消耗量、缴费票据、账单原始数据；梳理分析医院能源消耗模式，区分季节、门诊住院负荷波动影响，识别高能耗系统、重点高耗能设备，挖掘管理及技术层面节能潜力。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3.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  <w14:ligatures w14:val="none"/>
        </w:rPr>
        <w:t>在审计过程中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可根据项目工作实际，向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  <w14:ligatures w14:val="none"/>
        </w:rPr>
        <w:t>院方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书面提请获取报告编制所需资料，包含但不限于：医院基本概况、建筑台账、用能结构现状、能源计量器具台账、主要用能设备台账、历史能耗原始数据、现有节能管理制度、已实施节能技改资料、未来改扩建及节能改造规划、床位、门诊量、在岗人员等运营基础数据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  <w14:ligatures w14:val="none"/>
        </w:rPr>
        <w:t>院方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予以配合提供现有存档资料。</w:t>
      </w:r>
    </w:p>
    <w:p>
      <w:pPr>
        <w:widowControl/>
        <w:spacing w:after="0" w:line="240" w:lineRule="auto"/>
        <w:ind w:firstLine="643" w:firstLineChars="200"/>
        <w:jc w:val="both"/>
        <w:outlineLvl w:val="2"/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</w:pPr>
      <w:r>
        <w:rPr>
          <w:rFonts w:hint="eastAsia"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  <w:t>（三）</w:t>
      </w:r>
      <w:r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  <w:t>现场检查和评估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1.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在不影响医院医疗、后勤正常运行前提下，经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  <w14:ligatures w14:val="none"/>
        </w:rPr>
        <w:t>院方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许可后开展现场勘查，对全院各用能系统、主要耗能设备开展现场核查；评估设备实际能效水平，对比设备设计能效、国家/行业标准限值；核查能源计量器具配置、完好率、检定校准情况。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2.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核定医院能源基准，预测自然运行状态下未来周期能耗水平；排查识别能源浪费现象，包含管网跑冒滴漏、设备不合理运行、参数偏离经济工况、计量缺陷、管理制度执行漏洞等问题；核查数据中心机房EEUE计量缺失、空调系统运行参数偏离、老旧低效电机、变压器能效、热水系统、光伏建设条件等医院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能源管理和利用存在的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问题。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3.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现场勘查须制定错峰作业方案，避开手术高峰、门诊高峰时段，进场人员服从医院安保、后勤管理。</w:t>
      </w:r>
    </w:p>
    <w:p>
      <w:pPr>
        <w:widowControl/>
        <w:spacing w:after="0" w:line="240" w:lineRule="auto"/>
        <w:ind w:firstLine="643" w:firstLineChars="200"/>
        <w:jc w:val="both"/>
        <w:outlineLvl w:val="2"/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  <w:t>（四）节能潜力评估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在数据统计分析、现场勘查诊断基础上，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基于医院目前的能源资源利用现状，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分管理节能、技术节能两大维度开展节能潜力评估；对拟提出的各类节能措施开展技术可行性、投资经济性、回收期测算，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给出节能量测算结果，估算减碳量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；同时结合医院医疗场景特殊性，明确节能改造不得影响医疗保障、院感安全的约束条件。</w:t>
      </w:r>
    </w:p>
    <w:p>
      <w:pPr>
        <w:widowControl/>
        <w:spacing w:after="0" w:line="240" w:lineRule="auto"/>
        <w:ind w:firstLine="643" w:firstLineChars="200"/>
        <w:jc w:val="both"/>
        <w:outlineLvl w:val="2"/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  <w:t>（五）撰写能源审计评估报告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  <w14:ligatures w14:val="none"/>
        </w:rPr>
        <w:t>服务单位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结合数据核查、实地勘查结果编制正式能源审计评估报告，报告除完成现状、问题、潜力分析外，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涉及报告还将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包含以下核心成果（直接支撑后续综合能源托管项目）：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1.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医院能源基准、能源绩效参数完整测算方法、参数取值、分项及总体测算结果；核定能耗基线；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2.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对标《浙江省医疗机构能耗定额及计算方法》（DB33/T 738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noBreakHyphen/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2021）完成全院能耗定额达标对标分析，形成对标结论；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3.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建立适配医院场景的能耗基线与能耗预测模型，充分考虑床位变化、门诊量、极端气候、负荷变化等扰动因素，明确模型修正规则，为后续能源费用托管项目招标、合同签订提供直接决策依据；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报告章节结构参考GB/T31342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noBreakHyphen/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2014《公共机构能源审计技术导则》，并借鉴医疗机构能源审计报告范式，完整覆盖医院概况、能源管理现状、计量统计、各用能系统专项分析、能耗指标核算、对标评价、节能潜力、改造建议、能耗基线与预测模型、审计结论等内容。</w:t>
      </w:r>
    </w:p>
    <w:p>
      <w:pPr>
        <w:widowControl/>
        <w:spacing w:after="0" w:line="240" w:lineRule="auto"/>
        <w:ind w:firstLine="643" w:firstLineChars="200"/>
        <w:jc w:val="both"/>
        <w:outlineLvl w:val="2"/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  <w:t>（六）提交审核与修改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  <w14:ligatures w14:val="none"/>
        </w:rPr>
        <w:t>需要在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30个工作日内完成全部审计评估工作，提交完整能源审计评估报告。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  <w14:ligatures w14:val="none"/>
        </w:rPr>
        <w:t>院方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对报告完整性、程序合规性、数据真实性、测算准确性开展审核；若成果不满足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  <w14:ligatures w14:val="none"/>
        </w:rPr>
        <w:t>服务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需求，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  <w14:ligatures w14:val="none"/>
        </w:rPr>
        <w:t>审计单位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须在收到书面退回意见后2个工作日内完成对应内容修正、重新报送，直至通过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  <w14:ligatures w14:val="none"/>
        </w:rPr>
        <w:t>院方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审核。未按期完成、未通过审核的，不予支付服务费用。</w:t>
      </w:r>
    </w:p>
    <w:p>
      <w:pPr>
        <w:widowControl/>
        <w:spacing w:after="0" w:line="240" w:lineRule="auto"/>
        <w:ind w:firstLine="643" w:firstLineChars="200"/>
        <w:jc w:val="both"/>
        <w:outlineLvl w:val="2"/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</w:pPr>
      <w:r>
        <w:rPr>
          <w:rFonts w:hint="eastAsia"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  <w:t>（七）</w:t>
      </w:r>
      <w:r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  <w:t>资料归档、保密及其他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1.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交付成果包含：纸质版报告一式三份、全套可编辑电子文档（Word、Excel测算源文件、PDF正式版），全部资料完成审核后移交采购人指定项目联络人归档。报告印刷、装订、拷贝等全部相关费用包含在项目服务费内，采购人不再另行付费。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2.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  <w14:ligatures w14:val="none"/>
        </w:rPr>
        <w:t>能源审计单位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对项目全过程获取的医院运营数据、设备资料、能耗账单、图纸等全部资料承担严格保密义务，不得向任何第三方泄露，项目结束后不得私自留存全套原始业务资料；如发生资料遗失、泄密，全部责任及损失由供应商承担。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3.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所有节能量测算误差控制在±15%以内，满足公共机构能源审计相关标准要求。</w:t>
      </w:r>
    </w:p>
    <w:p>
      <w:pPr>
        <w:widowControl/>
        <w:spacing w:after="0" w:line="240" w:lineRule="auto"/>
        <w:ind w:firstLine="640" w:firstLineChars="200"/>
        <w:jc w:val="both"/>
        <w:outlineLvl w:val="1"/>
        <w:rPr>
          <w:rFonts w:ascii="黑体" w:hAnsi="黑体" w:eastAsia="黑体" w:cs="Times New Roman"/>
          <w:kern w:val="0"/>
          <w:sz w:val="32"/>
          <w:szCs w:val="32"/>
          <w14:ligatures w14:val="none"/>
        </w:rPr>
      </w:pPr>
      <w:r>
        <w:rPr>
          <w:rFonts w:ascii="黑体" w:hAnsi="黑体" w:eastAsia="黑体" w:cs="Times New Roman"/>
          <w:kern w:val="0"/>
          <w:sz w:val="32"/>
          <w:szCs w:val="32"/>
          <w14:ligatures w14:val="none"/>
        </w:rPr>
        <w:t>五、验收标准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参考《浙江省公共机构能源审计管理暂行方案》、GB/T31342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noBreakHyphen/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2014、JS/T301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noBreakHyphen/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2024、DB33/T738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noBreakHyphen/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2021开展项目验收，分为完整性验收、准确性验收两部分。</w:t>
      </w:r>
    </w:p>
    <w:p>
      <w:pPr>
        <w:widowControl/>
        <w:spacing w:after="0" w:line="240" w:lineRule="auto"/>
        <w:ind w:firstLine="643" w:firstLineChars="200"/>
        <w:jc w:val="both"/>
        <w:outlineLvl w:val="2"/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  <w:t>（一）审计评估结果完整性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能源审计评估报告必须至少包含下述内容：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1.医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院整体概况，组织架构、床位门诊运营情况，能源资源管理机构、制度建设及执行现状；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2.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用能基本情况调查：主要用能环节、重点用能设备清单，2024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noBreakHyphen/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2026年度全院能源消耗总量、能源消费结构分析；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3.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能源计量器具配备、检定、完好情况，能耗统计制度现状；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4.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各主要用能系统（空调、供配电、照明、给排水、数据中心、电梯、蒸汽热水系统）设备运行状况、存在问题诊断；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5.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主要能源资源利用效率评价，管理层面、技术层面节能潜力分析，分级分类节能改造建议与经济性测算；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6.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能源基准核定、能耗绩效参数计算、能耗预测模型及结果，医疗机构能耗定额对标分析，能源托管项目支撑性建议。</w:t>
      </w:r>
    </w:p>
    <w:p>
      <w:pPr>
        <w:widowControl/>
        <w:spacing w:after="0" w:line="240" w:lineRule="auto"/>
        <w:ind w:firstLine="643" w:firstLineChars="200"/>
        <w:jc w:val="both"/>
        <w:outlineLvl w:val="2"/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楷体_GB2312" w:hAnsi="楷体_GB2312" w:eastAsia="楷体_GB2312" w:cs="Times New Roman"/>
          <w:b/>
          <w:bCs/>
          <w:kern w:val="0"/>
          <w:sz w:val="32"/>
          <w:szCs w:val="32"/>
          <w14:ligatures w14:val="none"/>
        </w:rPr>
        <w:t>（二）审计评估结果准确性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1.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报告全部原始数据须来源于医院实际运行台账、财务缴费凭证、现场实测记录，数据来源可追溯，真实可靠；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2.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能耗指标、节能量测算方法符合国家、浙江省现行标准，节能潜力测算误差不超过±15%；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3.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能耗基线、预测模型参数逻辑合理，充分考虑医院医疗运行特点，能够直接用于综合能源托管项目前期决策；</w:t>
      </w:r>
    </w:p>
    <w:p>
      <w:pPr>
        <w:widowControl/>
        <w:spacing w:after="0" w:line="240" w:lineRule="auto"/>
        <w:ind w:firstLine="640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14:ligatures w14:val="none"/>
        </w:rPr>
        <w:t>4.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报告问题诊断贴合医院现场实际，建议具备可落地性，无脱离医院运营条件的空泛方案。</w:t>
      </w:r>
    </w:p>
    <w:p>
      <w:pPr>
        <w:widowControl/>
        <w:spacing w:after="0" w:line="240" w:lineRule="auto"/>
        <w:ind w:firstLine="640" w:firstLineChars="200"/>
        <w:jc w:val="both"/>
        <w:outlineLvl w:val="1"/>
        <w:rPr>
          <w:rFonts w:ascii="黑体" w:hAnsi="黑体" w:eastAsia="黑体" w:cs="Times New Roman"/>
          <w:kern w:val="0"/>
          <w:sz w:val="32"/>
          <w:szCs w:val="32"/>
          <w14:ligatures w14:val="none"/>
        </w:rPr>
      </w:pPr>
      <w:r>
        <w:rPr>
          <w:rFonts w:ascii="黑体" w:hAnsi="黑体" w:eastAsia="黑体" w:cs="Times New Roman"/>
          <w:kern w:val="0"/>
          <w:sz w:val="32"/>
          <w:szCs w:val="32"/>
          <w14:ligatures w14:val="none"/>
        </w:rPr>
        <w:t>六、商务要求</w:t>
      </w:r>
    </w:p>
    <w:p>
      <w:pPr>
        <w:widowControl/>
        <w:spacing w:after="0" w:line="240" w:lineRule="auto"/>
        <w:ind w:firstLine="643" w:firstLineChars="200"/>
        <w:jc w:val="both"/>
        <w:outlineLvl w:val="1"/>
        <w:rPr>
          <w:rFonts w:ascii="黑体" w:hAnsi="黑体" w:eastAsia="黑体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14:ligatures w14:val="none"/>
        </w:rPr>
        <w:t>1.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14:ligatures w14:val="none"/>
        </w:rPr>
        <w:t>服务周期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：合同签订后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  <w14:ligatures w14:val="none"/>
        </w:rPr>
        <w:t>60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个工作日内完成全部现场工作、报告编制、修改直至验收通过。</w:t>
      </w:r>
    </w:p>
    <w:p>
      <w:pPr>
        <w:widowControl/>
        <w:spacing w:after="0" w:line="240" w:lineRule="auto"/>
        <w:ind w:firstLine="643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14:ligatures w14:val="none"/>
        </w:rPr>
        <w:t>2.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14:ligatures w14:val="none"/>
        </w:rPr>
        <w:t>付款方式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：项目全部成果经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  <w14:ligatures w14:val="none"/>
        </w:rPr>
        <w:t>院方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审核验收合格后，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  <w14:ligatures w14:val="none"/>
        </w:rPr>
        <w:t>服务单位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开具合法有效发票，采购人按财政支付流程一次性支付全额服务费。</w:t>
      </w:r>
    </w:p>
    <w:p>
      <w:pPr>
        <w:widowControl/>
        <w:spacing w:after="0" w:line="240" w:lineRule="auto"/>
        <w:ind w:firstLine="643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14:ligatures w14:val="none"/>
        </w:rPr>
        <w:t>3.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14:ligatures w14:val="none"/>
        </w:rPr>
        <w:t>售后服务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：报告验收完成后12个月内，采购人开展综合能源托管采购、方案研讨过程中，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  <w14:ligatures w14:val="none"/>
        </w:rPr>
        <w:t>服务单位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须提供免费技术答疑，配合对审计报告、能耗基线相关内容进行解释说明。</w:t>
      </w:r>
    </w:p>
    <w:p>
      <w:pPr>
        <w:widowControl/>
        <w:spacing w:after="0" w:line="240" w:lineRule="auto"/>
        <w:ind w:firstLine="643" w:firstLineChars="200"/>
        <w:jc w:val="both"/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14:ligatures w14:val="none"/>
        </w:rPr>
        <w:t>4.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/>
          <w14:ligatures w14:val="none"/>
        </w:rPr>
        <w:t>市场调研预算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14:ligatures w14:val="none"/>
        </w:rPr>
        <w:t>报价包含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：本项目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  <w14:ligatures w14:val="none"/>
        </w:rPr>
        <w:t>预算</w:t>
      </w:r>
      <w:r>
        <w:rPr>
          <w:rFonts w:ascii="Times New Roman" w:hAnsi="Times New Roman" w:eastAsia="仿宋_GB2312" w:cs="Times New Roman"/>
          <w:kern w:val="0"/>
          <w:sz w:val="32"/>
          <w:szCs w:val="32"/>
          <w14:ligatures w14:val="none"/>
        </w:rPr>
        <w:t>报价为全包价，包含人员、交通、现场勘查、资料搜集、报告编制、印刷装订、电子资料制作、保密管理、税费等完成本项目全部工作的一切费用。</w:t>
      </w:r>
    </w:p>
    <w:sectPr>
      <w:footerReference r:id="rId5" w:type="default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9"/>
      </w:rPr>
      <w:id w:val="831726085"/>
      <w:docPartObj>
        <w:docPartGallery w:val="autotext"/>
      </w:docPartObj>
    </w:sdtPr>
    <w:sdtEndPr>
      <w:rPr>
        <w:rStyle w:val="19"/>
      </w:rPr>
    </w:sdtEndPr>
    <w:sdtContent>
      <w:p>
        <w:pPr>
          <w:pStyle w:val="11"/>
          <w:framePr w:wrap="auto" w:vAnchor="text" w:hAnchor="margin" w:xAlign="center" w:y="1"/>
          <w:rPr>
            <w:rStyle w:val="19"/>
          </w:rPr>
        </w:pPr>
        <w:r>
          <w:rPr>
            <w:rStyle w:val="19"/>
          </w:rPr>
          <w:fldChar w:fldCharType="begin"/>
        </w:r>
        <w:r>
          <w:rPr>
            <w:rStyle w:val="19"/>
          </w:rPr>
          <w:instrText xml:space="preserve"> PAGE </w:instrText>
        </w:r>
        <w:r>
          <w:rPr>
            <w:rStyle w:val="19"/>
          </w:rPr>
          <w:fldChar w:fldCharType="separate"/>
        </w:r>
        <w:r>
          <w:rPr>
            <w:rStyle w:val="19"/>
          </w:rPr>
          <w:t>8</w:t>
        </w:r>
        <w:r>
          <w:rPr>
            <w:rStyle w:val="19"/>
          </w:rPr>
          <w:fldChar w:fldCharType="end"/>
        </w:r>
      </w:p>
    </w:sdtContent>
  </w:sdt>
  <w:p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9"/>
      </w:rPr>
      <w:id w:val="-1921314140"/>
      <w:docPartObj>
        <w:docPartGallery w:val="autotext"/>
      </w:docPartObj>
    </w:sdtPr>
    <w:sdtEndPr>
      <w:rPr>
        <w:rStyle w:val="19"/>
      </w:rPr>
    </w:sdtEndPr>
    <w:sdtContent>
      <w:p>
        <w:pPr>
          <w:pStyle w:val="11"/>
          <w:framePr w:wrap="auto" w:vAnchor="text" w:hAnchor="margin" w:xAlign="center" w:y="1"/>
          <w:rPr>
            <w:rStyle w:val="19"/>
          </w:rPr>
        </w:pPr>
        <w:r>
          <w:rPr>
            <w:rStyle w:val="19"/>
          </w:rPr>
          <w:fldChar w:fldCharType="begin"/>
        </w:r>
        <w:r>
          <w:rPr>
            <w:rStyle w:val="19"/>
          </w:rPr>
          <w:instrText xml:space="preserve"> PAGE </w:instrText>
        </w:r>
        <w:r>
          <w:rPr>
            <w:rStyle w:val="19"/>
          </w:rPr>
          <w:fldChar w:fldCharType="separate"/>
        </w:r>
        <w:r>
          <w:rPr>
            <w:rStyle w:val="19"/>
          </w:rPr>
          <w:fldChar w:fldCharType="end"/>
        </w:r>
      </w:p>
    </w:sdtContent>
  </w:sdt>
  <w:p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jMTU2YmYyMTNjMzBmNThkMWZkYTU3NzVkYjVjNmIifQ=="/>
  </w:docVars>
  <w:rsids>
    <w:rsidRoot w:val="00E317E7"/>
    <w:rsid w:val="000B66D8"/>
    <w:rsid w:val="00126B49"/>
    <w:rsid w:val="00183025"/>
    <w:rsid w:val="002A744F"/>
    <w:rsid w:val="003D4A93"/>
    <w:rsid w:val="004A57BA"/>
    <w:rsid w:val="0079349E"/>
    <w:rsid w:val="00BC5C9F"/>
    <w:rsid w:val="00C63D5B"/>
    <w:rsid w:val="00D92A5C"/>
    <w:rsid w:val="00E317E7"/>
    <w:rsid w:val="00E4108C"/>
    <w:rsid w:val="00EA1C76"/>
    <w:rsid w:val="06D3532D"/>
    <w:rsid w:val="0CB41BF4"/>
    <w:rsid w:val="18786D89"/>
    <w:rsid w:val="25E47C83"/>
    <w:rsid w:val="38A7193B"/>
    <w:rsid w:val="39F81932"/>
    <w:rsid w:val="6AD4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Strong"/>
    <w:basedOn w:val="17"/>
    <w:qFormat/>
    <w:uiPriority w:val="22"/>
    <w:rPr>
      <w:b/>
      <w:bCs/>
    </w:rPr>
  </w:style>
  <w:style w:type="character" w:styleId="19">
    <w:name w:val="page number"/>
    <w:basedOn w:val="17"/>
    <w:semiHidden/>
    <w:unhideWhenUsed/>
    <w:qFormat/>
    <w:uiPriority w:val="99"/>
  </w:style>
  <w:style w:type="character" w:customStyle="1" w:styleId="20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2">
    <w:name w:val="标题 2 字符"/>
    <w:basedOn w:val="17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标题 3 字符"/>
    <w:basedOn w:val="17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5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7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7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7"/>
    <w:link w:val="35"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7"/>
    <w:link w:val="12"/>
    <w:uiPriority w:val="99"/>
    <w:rPr>
      <w:sz w:val="18"/>
      <w:szCs w:val="18"/>
    </w:rPr>
  </w:style>
  <w:style w:type="character" w:customStyle="1" w:styleId="39">
    <w:name w:val="页脚 字符"/>
    <w:basedOn w:val="17"/>
    <w:link w:val="11"/>
    <w:uiPriority w:val="99"/>
    <w:rPr>
      <w:sz w:val="18"/>
      <w:szCs w:val="18"/>
    </w:rPr>
  </w:style>
  <w:style w:type="paragraph" w:customStyle="1" w:styleId="40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3631</Words>
  <Characters>3875</Characters>
  <Lines>28</Lines>
  <Paragraphs>7</Paragraphs>
  <TotalTime>115</TotalTime>
  <ScaleCrop>false</ScaleCrop>
  <LinksUpToDate>false</LinksUpToDate>
  <CharactersWithSpaces>3880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2026-09-15T01:20:00Z</dcterms:created>
  <dc:creator>镜宇 卢</dc:creator>
  <cp:lastModifiedBy>hzsy</cp:lastModifiedBy>
  <dcterms:modified xsi:type="dcterms:W3CDTF">2026-10-30T06:12:11Z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E68F150B350246368128CA4A2E3EE83D_12</vt:lpwstr>
  </property>
  <property fmtid="{D5CDD505-2E9C-101B-9397-08002B2CF9AE}" pid="4" name="KSOTemplateDocerSaveRecord">
    <vt:lpwstr>eyJoZGlkIjoiYmVhOTI1NmU1NjQ5YzVhMjg2N2U1YzYzMzI1YWM2ZjEiLCJ1c2VySWQiOiI0MjUyNjUwNjIifQ==</vt:lpwstr>
  </property>
</Properties>
</file>