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1F312848">
      <w:pPr>
        <w:rPr>
          <w:b/>
          <w:bCs/>
        </w:rPr>
      </w:pPr>
      <w:bookmarkStart w:id="0" w:name="_GoBack"/>
      <w:bookmarkEnd w:id="0"/>
      <w:r>
        <w:rPr>
          <w:rFonts w:hint="eastAsia"/>
          <w:b/>
          <w:bCs/>
        </w:rPr>
        <w:t>附件1</w:t>
      </w:r>
    </w:p>
    <w:p w14:paraId="7AE5F319">
      <w:pPr>
        <w:pStyle w:val="4"/>
        <w:spacing w:before="150" w:beforeAutospacing="0" w:after="150" w:afterAutospacing="0" w:line="24" w:lineRule="atLeast"/>
        <w:jc w:val="center"/>
        <w:rPr>
          <w:sz w:val="28"/>
          <w:szCs w:val="28"/>
        </w:rPr>
      </w:pP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服务技术</w:t>
      </w:r>
      <w:r>
        <w:rPr>
          <w:rStyle w:val="7"/>
          <w:rFonts w:hint="eastAsia" w:ascii="Times New Roman" w:hAnsi="Times New Roman"/>
          <w:bCs/>
          <w:color w:val="000000"/>
          <w:sz w:val="28"/>
          <w:szCs w:val="28"/>
          <w:shd w:val="clear" w:color="auto" w:fill="FFFFFF"/>
        </w:rPr>
        <w:t>需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求</w:t>
      </w:r>
    </w:p>
    <w:p w14:paraId="2C28EA0A">
      <w:pPr>
        <w:spacing w:line="24" w:lineRule="atLeast"/>
        <w:ind w:left="90"/>
        <w:rPr>
          <w:sz w:val="28"/>
          <w:szCs w:val="28"/>
        </w:rPr>
      </w:pPr>
      <w:r>
        <w:rPr>
          <w:rStyle w:val="7"/>
          <w:rFonts w:hint="eastAsia" w:ascii="Times New Roman" w:hAnsi="Times New Roman"/>
          <w:bCs/>
          <w:color w:val="000000"/>
          <w:sz w:val="28"/>
          <w:szCs w:val="28"/>
          <w:shd w:val="clear" w:color="auto" w:fill="FFFFFF"/>
        </w:rPr>
        <w:t>一、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检测范围：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覆盖精神类相关药物（抗抑郁、抗精神病、镇静催眠等）代谢酶及靶点基因，包括但不限于CYP2C19、CYP2D6、CYP3A4、CYP3A5、HTR2A、SLC6A4、OPRM1等，位点选择应基于FDA/CPIC指南及临床循证证据。</w:t>
      </w:r>
    </w:p>
    <w:p w14:paraId="6DB48E8F">
      <w:pPr>
        <w:spacing w:line="24" w:lineRule="atLeast"/>
        <w:ind w:left="90"/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</w:pPr>
      <w:r>
        <w:rPr>
          <w:rStyle w:val="7"/>
          <w:rFonts w:hint="eastAsia" w:ascii="Times New Roman" w:hAnsi="Times New Roman"/>
          <w:bCs/>
          <w:color w:val="000000"/>
          <w:sz w:val="28"/>
          <w:szCs w:val="28"/>
          <w:shd w:val="clear" w:color="auto" w:fill="FFFFFF"/>
        </w:rPr>
        <w:t>二、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检测方法</w:t>
      </w:r>
      <w:r>
        <w:rPr>
          <w:rFonts w:hint="eastAsia" w:ascii="Times New Roman" w:hAnsi="Times New Roman"/>
          <w:b/>
          <w:bCs/>
          <w:color w:val="000000"/>
          <w:sz w:val="28"/>
          <w:szCs w:val="28"/>
          <w:highlight w:val="yellow"/>
          <w:shd w:val="clear" w:color="auto" w:fill="FFFFFF"/>
        </w:rPr>
        <w:t>（此为实质性条款）</w:t>
      </w:r>
    </w:p>
    <w:p w14:paraId="1909C7EE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Style w:val="7"/>
          <w:rFonts w:hint="eastAsia" w:ascii="Times New Roman" w:hAnsi="Times New Roman"/>
          <w:b w:val="0"/>
          <w:color w:val="000000"/>
          <w:sz w:val="28"/>
          <w:szCs w:val="28"/>
          <w:shd w:val="clear" w:color="auto" w:fill="FFFFFF"/>
        </w:rPr>
        <w:t>采用符合全国医疗服务项目技术规范(2023年版)的技术方法，同时，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须符合浙江省关于化学药物用药指导基因检测项目的收费规定。</w:t>
      </w:r>
    </w:p>
    <w:p w14:paraId="53D2A23B">
      <w:pPr>
        <w:spacing w:line="24" w:lineRule="atLeast"/>
        <w:ind w:left="90"/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</w:pPr>
      <w:r>
        <w:rPr>
          <w:rStyle w:val="7"/>
          <w:rFonts w:hint="eastAsia" w:ascii="Times New Roman" w:hAnsi="Times New Roman"/>
          <w:bCs/>
          <w:color w:val="000000"/>
          <w:sz w:val="28"/>
          <w:szCs w:val="28"/>
          <w:shd w:val="clear" w:color="auto" w:fill="FFFFFF"/>
        </w:rPr>
        <w:t>三、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检测时效</w:t>
      </w:r>
      <w:r>
        <w:rPr>
          <w:rFonts w:hint="eastAsia" w:ascii="Times New Roman" w:hAnsi="Times New Roman"/>
          <w:b/>
          <w:bCs/>
          <w:color w:val="000000"/>
          <w:sz w:val="28"/>
          <w:szCs w:val="28"/>
          <w:highlight w:val="yellow"/>
          <w:shd w:val="clear" w:color="auto" w:fill="FFFFFF"/>
        </w:rPr>
        <w:t>（此为实质性条款）</w:t>
      </w:r>
    </w:p>
    <w:p w14:paraId="63C075B1">
      <w:pPr>
        <w:spacing w:line="24" w:lineRule="atLeast"/>
        <w:ind w:left="90"/>
        <w:rPr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从样本接收到出具正式报告≤1.5小时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，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满足临床快速个体化用药需求。</w:t>
      </w:r>
    </w:p>
    <w:p w14:paraId="5528ABA9">
      <w:pPr>
        <w:numPr>
          <w:ilvl w:val="0"/>
          <w:numId w:val="1"/>
        </w:numPr>
        <w:spacing w:line="24" w:lineRule="atLeast"/>
        <w:ind w:left="90"/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</w:pP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质量控制</w:t>
      </w:r>
    </w:p>
    <w:p w14:paraId="0B09898D">
      <w:pPr>
        <w:spacing w:line="24" w:lineRule="atLeast"/>
        <w:rPr>
          <w:sz w:val="28"/>
          <w:szCs w:val="28"/>
        </w:rPr>
      </w:pP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具备完整的室内质控与室间质评体系；每批次检测须设置阴、阳性质控，并提供质控数据；近两年参加国家卫健委或省级临检中心室间质评且合格。</w:t>
      </w:r>
    </w:p>
    <w:p w14:paraId="1C8AFFCE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b/>
          <w:bCs/>
          <w:color w:val="000000"/>
          <w:sz w:val="28"/>
          <w:szCs w:val="28"/>
          <w:highlight w:val="yellow"/>
          <w:shd w:val="clear" w:color="auto" w:fill="FFFFFF"/>
        </w:rPr>
        <w:t>五、设备需满足以下条件（此为实质性条款）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br w:type="textWrapping"/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样本通量≥48 人份 / 次，支持任意数量灵活上机；检测支持多指标并行检测。</w:t>
      </w:r>
    </w:p>
    <w:p w14:paraId="0F0A0DB1">
      <w:pPr>
        <w:spacing w:line="24" w:lineRule="atLeast"/>
        <w:ind w:left="90"/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b/>
          <w:bCs/>
          <w:color w:val="000000"/>
          <w:sz w:val="28"/>
          <w:szCs w:val="28"/>
          <w:shd w:val="clear" w:color="auto" w:fill="FFFFFF"/>
        </w:rPr>
        <w:t>六、自动化报告平台与知识库要求</w:t>
      </w:r>
      <w:r>
        <w:rPr>
          <w:rFonts w:hint="eastAsia" w:ascii="Times New Roman" w:hAnsi="Times New Roman"/>
          <w:b/>
          <w:bCs/>
          <w:color w:val="000000"/>
          <w:sz w:val="28"/>
          <w:szCs w:val="28"/>
          <w:highlight w:val="yellow"/>
          <w:shd w:val="clear" w:color="auto" w:fill="FFFFFF"/>
        </w:rPr>
        <w:t>（此为实质性条款）</w:t>
      </w:r>
    </w:p>
    <w:p w14:paraId="3E9E0A05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6.1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提供自动化分析报告平台；提供中文临床解读报告，包含基因型、代谢表型、具体药物调整建议及参考文献，报告格式符合临床规范，并支持嵌入医院LIS/HIS系统。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可以根据医院情况自己增加用药建议。</w:t>
      </w:r>
    </w:p>
    <w:p w14:paraId="2691A4DC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6.2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报告平台知识库需循证依据（生物医学文献、FDA、NMPA、NCCN 指南、CPIC指南、DPWG指南以及国内外权威数据库等）；</w:t>
      </w:r>
    </w:p>
    <w:p w14:paraId="38F2931C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6.3临床药物基因组学系统通过ISO认证；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精准用药知识库获ISO13485认证，与自动化软件连接，自动出具用药建议报告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。</w:t>
      </w:r>
    </w:p>
    <w:p w14:paraId="095BDFC1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6.4若患者既往在本院检测过，输入基本信息后，系统能够自动检索既往报告，实现查重。</w:t>
      </w:r>
    </w:p>
    <w:p w14:paraId="16208273">
      <w:pPr>
        <w:numPr>
          <w:ilvl w:val="0"/>
          <w:numId w:val="2"/>
        </w:numPr>
        <w:spacing w:line="24" w:lineRule="atLeast"/>
        <w:ind w:left="90"/>
        <w:rPr>
          <w:rFonts w:ascii="Times New Roman" w:hAnsi="Times New Roman"/>
          <w:b/>
          <w:bCs/>
          <w:color w:val="000000"/>
          <w:sz w:val="28"/>
          <w:szCs w:val="28"/>
          <w:shd w:val="clear" w:color="auto" w:fill="FFFFFF"/>
          <w:lang w:bidi="ar"/>
        </w:rPr>
      </w:pPr>
      <w:r>
        <w:rPr>
          <w:rFonts w:hint="eastAsia" w:ascii="Times New Roman" w:hAnsi="Times New Roman"/>
          <w:b/>
          <w:bCs/>
          <w:color w:val="000000"/>
          <w:sz w:val="28"/>
          <w:szCs w:val="28"/>
          <w:shd w:val="clear" w:color="auto" w:fill="FFFFFF"/>
          <w:lang w:bidi="ar"/>
        </w:rPr>
        <w:t>其他要求</w:t>
      </w:r>
    </w:p>
    <w:p w14:paraId="5EB7E8DD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Style w:val="7"/>
          <w:rFonts w:hint="eastAsia" w:ascii="Times New Roman" w:hAnsi="Times New Roman"/>
          <w:b w:val="0"/>
          <w:color w:val="000000"/>
          <w:sz w:val="28"/>
          <w:szCs w:val="28"/>
          <w:shd w:val="clear" w:color="auto" w:fill="FFFFFF"/>
        </w:rPr>
        <w:t>7.1</w:t>
      </w:r>
      <w:r>
        <w:rPr>
          <w:rStyle w:val="7"/>
          <w:rFonts w:ascii="Times New Roman" w:hAnsi="Times New Roman"/>
          <w:b w:val="0"/>
          <w:color w:val="000000"/>
          <w:sz w:val="28"/>
          <w:szCs w:val="28"/>
          <w:shd w:val="clear" w:color="auto" w:fill="FFFFFF"/>
        </w:rPr>
        <w:t>培训支持</w:t>
      </w:r>
      <w:r>
        <w:rPr>
          <w:rStyle w:val="7"/>
          <w:rFonts w:ascii="Times New Roman" w:hAnsi="Times New Roman"/>
          <w:bCs/>
          <w:color w:val="000000"/>
          <w:sz w:val="28"/>
          <w:szCs w:val="28"/>
          <w:shd w:val="clear" w:color="auto" w:fill="FFFFFF"/>
        </w:rPr>
        <w:t>：</w:t>
      </w:r>
      <w:r>
        <w:rPr>
          <w:rFonts w:ascii="Times New Roman" w:hAnsi="Times New Roman"/>
          <w:color w:val="000000"/>
          <w:sz w:val="28"/>
          <w:szCs w:val="28"/>
          <w:shd w:val="clear" w:color="auto" w:fill="FFFFFF"/>
        </w:rPr>
        <w:t>免费为医院检验/药剂/临床人员提供操作培训及基因解读培训</w:t>
      </w: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。</w:t>
      </w:r>
    </w:p>
    <w:p w14:paraId="06860BBE">
      <w:pPr>
        <w:spacing w:line="24" w:lineRule="atLeast"/>
        <w:ind w:left="90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>7.2在保质期内，设备发生一般故障时，中标方负责免费修理、更换零部件；如设备发生大故障（指主要部件出现质量问题）时，中标方应负责免费更换相同品牌、型号的新机器。合约期内设备由中标方免费提供维保；产权归中标方所有。</w:t>
      </w:r>
    </w:p>
    <w:p w14:paraId="061CA360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14:paraId="7DDE81DD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 xml:space="preserve">                                        医务科</w:t>
      </w:r>
    </w:p>
    <w:p w14:paraId="48BF3DE5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  <w:r>
        <w:rPr>
          <w:rFonts w:hint="eastAsia" w:ascii="Times New Roman" w:hAnsi="Times New Roman"/>
          <w:color w:val="000000"/>
          <w:sz w:val="28"/>
          <w:szCs w:val="28"/>
          <w:shd w:val="clear" w:color="auto" w:fill="FFFFFF"/>
        </w:rPr>
        <w:t xml:space="preserve">                                    2026年6月9日</w:t>
      </w:r>
    </w:p>
    <w:p w14:paraId="41E77A8E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p w14:paraId="1C2542CA">
      <w:pPr>
        <w:spacing w:line="24" w:lineRule="atLeast"/>
        <w:rPr>
          <w:rFonts w:ascii="Times New Roman" w:hAnsi="Times New Roman"/>
          <w:color w:val="000000"/>
          <w:sz w:val="28"/>
          <w:szCs w:val="28"/>
          <w:shd w:val="clear" w:color="auto" w:fill="FFFFFF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04A02A1B"/>
    <w:multiLevelType w:val="singleLevel"/>
    <w:tmpl w:val="04A02A1B"/>
    <w:lvl w:ilvl="0" w:tentative="0">
      <w:start w:val="7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1167283B"/>
    <w:multiLevelType w:val="singleLevel"/>
    <w:tmpl w:val="1167283B"/>
    <w:lvl w:ilvl="0" w:tentative="0">
      <w:start w:val="4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documentProtection w:enforcement="0"/>
  <w:defaultTabStop w:val="420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0F6C"/>
    <w:rsid w:val="00317A49"/>
    <w:rsid w:val="00790F6C"/>
    <w:rsid w:val="00CE287D"/>
    <w:rsid w:val="0BEC022F"/>
    <w:rsid w:val="0DC8410D"/>
    <w:rsid w:val="0E7556D1"/>
    <w:rsid w:val="10535371"/>
    <w:rsid w:val="1C6D1D84"/>
    <w:rsid w:val="20036C03"/>
    <w:rsid w:val="20C50FB4"/>
    <w:rsid w:val="21071FCB"/>
    <w:rsid w:val="27A35EAC"/>
    <w:rsid w:val="297A538D"/>
    <w:rsid w:val="2D040F00"/>
    <w:rsid w:val="2D315253"/>
    <w:rsid w:val="32C15E0E"/>
    <w:rsid w:val="356C2617"/>
    <w:rsid w:val="36942060"/>
    <w:rsid w:val="373C5FAF"/>
    <w:rsid w:val="38C760CA"/>
    <w:rsid w:val="3E8F1850"/>
    <w:rsid w:val="3F630BB4"/>
    <w:rsid w:val="406C0B37"/>
    <w:rsid w:val="49D20DCB"/>
    <w:rsid w:val="4DA12BB9"/>
    <w:rsid w:val="4F824AB9"/>
    <w:rsid w:val="53605111"/>
    <w:rsid w:val="586C5041"/>
    <w:rsid w:val="5B02037B"/>
    <w:rsid w:val="6478348C"/>
    <w:rsid w:val="695C6F71"/>
    <w:rsid w:val="69D42CF2"/>
    <w:rsid w:val="705D4FC3"/>
    <w:rsid w:val="78AA5F60"/>
    <w:rsid w:val="78F52A58"/>
    <w:rsid w:val="7DF30F1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mc:AlternateContent>
    <mc:Choice Requires="wpsCustomData">
      <wpsCustomData:typoFeatureVersion val="1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iPriority="1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iPriority="99" w:name="Normal Table"/>
    <w:lsdException w:unhideWhenUsed="0" w:uiPriority="0" w:semiHidden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nhideWhenUsed="0" w:uiPriority="0" w:semiHidden="0" w:name="Balloon Text"/>
    <w:lsdException w:unhideWhenUsed="0" w:uiPriority="0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cs="Times New Roman" w:asciiTheme="minorEastAsia" w:hAnsiTheme="minorEastAsia" w:eastAsiaTheme="minorEastAsia"/>
      <w:sz w:val="24"/>
      <w:szCs w:val="24"/>
      <w:lang w:val="en-US" w:eastAsia="zh-CN" w:bidi="ar-SA"/>
    </w:rPr>
  </w:style>
  <w:style w:type="character" w:default="1" w:styleId="6">
    <w:name w:val="Default Paragraph Font"/>
    <w:semiHidden/>
    <w:unhideWhenUsed/>
    <w:uiPriority w:val="1"/>
  </w:style>
  <w:style w:type="table" w:default="1" w:styleId="5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header"/>
    <w:basedOn w:val="1"/>
    <w:link w:val="8"/>
    <w:uiPriority w:val="0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4">
    <w:name w:val="Normal (Web)"/>
    <w:basedOn w:val="1"/>
    <w:qFormat/>
    <w:uiPriority w:val="0"/>
    <w:pPr>
      <w:spacing w:beforeAutospacing="1" w:afterAutospacing="1"/>
    </w:pPr>
  </w:style>
  <w:style w:type="character" w:styleId="7">
    <w:name w:val="Strong"/>
    <w:basedOn w:val="6"/>
    <w:qFormat/>
    <w:uiPriority w:val="0"/>
    <w:rPr>
      <w:b/>
    </w:rPr>
  </w:style>
  <w:style w:type="character" w:customStyle="1" w:styleId="8">
    <w:name w:val="页眉 字符"/>
    <w:basedOn w:val="6"/>
    <w:link w:val="3"/>
    <w:uiPriority w:val="0"/>
    <w:rPr>
      <w:rFonts w:asciiTheme="minorEastAsia" w:hAnsiTheme="minorEastAsia" w:eastAsiaTheme="minorEastAsia"/>
      <w:sz w:val="18"/>
      <w:szCs w:val="18"/>
    </w:rPr>
  </w:style>
  <w:style w:type="character" w:customStyle="1" w:styleId="9">
    <w:name w:val="页脚 字符"/>
    <w:basedOn w:val="6"/>
    <w:link w:val="2"/>
    <w:uiPriority w:val="0"/>
    <w:rPr>
      <w:rFonts w:asciiTheme="minorEastAsia" w:hAnsiTheme="minorEastAsia" w:eastAsiaTheme="minorEastAsia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730</Words>
  <Characters>823</Characters>
  <Lines>6</Lines>
  <Paragraphs>1</Paragraphs>
  <TotalTime>13</TotalTime>
  <ScaleCrop>false</ScaleCrop>
  <LinksUpToDate>false</LinksUpToDate>
  <CharactersWithSpaces>903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2026-03-05T01:04:00Z</dcterms:created>
  <dc:creator>ower</dc:creator>
  <cp:lastModifiedBy>hu</cp:lastModifiedBy>
  <dcterms:modified xsi:type="dcterms:W3CDTF">2026-06-11T07:23:29Z</dcterms:modified>
  <cp:revision>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2052-12.1.0.26895</vt:lpwstr>
  </property>
  <property fmtid="{D5CDD505-2E9C-101B-9397-08002B2CF9AE}" pid="3" name="KSOTemplateDocerSaveRecord">
    <vt:lpwstr>eyJoZGlkIjoiN2ExZWUyNDE4MmM5NDlhM2E1ODE0YTc1Njg4MDU3ZmQiLCJ1c2VySWQiOiIzNTgyMTgwNDUifQ==</vt:lpwstr>
  </property>
  <property fmtid="{D5CDD505-2E9C-101B-9397-08002B2CF9AE}" pid="4" name="ICV">
    <vt:lpwstr>5C99CBCA6442403C9CF613005A959E44_13</vt:lpwstr>
  </property>
</Properties>
</file>