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420" w:beforeAutospacing="0" w:after="90" w:afterAutospacing="0" w:line="23" w:lineRule="atLeast"/>
        <w:ind w:left="0" w:right="0"/>
        <w:jc w:val="left"/>
        <w:rPr>
          <w:rFonts w:hint="default" w:ascii="Times New Roman" w:hAnsi="Times New Roman" w:cs="Times New Roman"/>
          <w:b/>
          <w:bCs/>
          <w:color w:val="1E293B"/>
          <w:sz w:val="24"/>
          <w:szCs w:val="24"/>
        </w:rPr>
      </w:pPr>
      <w:r>
        <w:rPr>
          <w:rFonts w:hint="default" w:ascii="Times New Roman" w:hAnsi="Times New Roman" w:eastAsia="宋体" w:cs="Times New Roman"/>
          <w:b/>
          <w:bCs/>
          <w:color w:val="1E293B"/>
          <w:sz w:val="24"/>
          <w:szCs w:val="24"/>
          <w:shd w:val="clear" w:fill="FFFFFF"/>
        </w:rPr>
        <w:t>附件1：采购项目内容</w:t>
      </w:r>
    </w:p>
    <w:tbl>
      <w:tblPr>
        <w:tblStyle w:val="2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26"/>
        <w:gridCol w:w="3792"/>
        <w:gridCol w:w="332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序号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color w:val="1E293B"/>
                <w:sz w:val="24"/>
                <w:szCs w:val="24"/>
                <w:lang w:val="en-US" w:eastAsia="zh-CN"/>
              </w:rPr>
              <w:t>采购项目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下浮率（%）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一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蔬菜类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二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肉类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三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水产类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四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禽蛋类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五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冻货类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六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豆制品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七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调味品、食用油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八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大米、面粉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九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禽肉类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十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肠内营养食品类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/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十一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西点类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/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十二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酱菜类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/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十三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早点类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/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40" w:beforeAutospacing="0" w:after="90" w:afterAutospacing="0" w:line="23" w:lineRule="atLeast"/>
        <w:ind w:left="0" w:right="0"/>
        <w:jc w:val="left"/>
        <w:rPr>
          <w:rFonts w:hint="default" w:ascii="Times New Roman" w:hAnsi="Times New Roman" w:cs="Times New Roman"/>
          <w:b/>
          <w:bCs/>
          <w:color w:val="1E293B"/>
          <w:sz w:val="24"/>
          <w:szCs w:val="24"/>
        </w:rPr>
      </w:pPr>
      <w:r>
        <w:rPr>
          <w:rFonts w:hint="default" w:ascii="Times New Roman" w:hAnsi="Times New Roman" w:eastAsia="宋体" w:cs="Times New Roman"/>
          <w:b/>
          <w:bCs/>
          <w:color w:val="1E293B"/>
          <w:sz w:val="24"/>
          <w:szCs w:val="24"/>
          <w:shd w:val="clear" w:fill="FFFFFF"/>
        </w:rPr>
        <w:t>序号十：肠内营养食品类</w:t>
      </w:r>
    </w:p>
    <w:tbl>
      <w:tblPr>
        <w:tblStyle w:val="2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04"/>
        <w:gridCol w:w="1031"/>
        <w:gridCol w:w="911"/>
        <w:gridCol w:w="4193"/>
        <w:gridCol w:w="1072"/>
        <w:gridCol w:w="5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品类</w:t>
            </w:r>
          </w:p>
        </w:tc>
        <w:tc>
          <w:tcPr>
            <w:tcW w:w="603" w:type="pct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商品名</w:t>
            </w:r>
          </w:p>
        </w:tc>
        <w:tc>
          <w:tcPr>
            <w:tcW w:w="533" w:type="pct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规格</w:t>
            </w:r>
          </w:p>
        </w:tc>
        <w:tc>
          <w:tcPr>
            <w:tcW w:w="2453" w:type="pct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要求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单价（元）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品牌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restart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肠内营养食品类</w:t>
            </w:r>
          </w:p>
        </w:tc>
        <w:tc>
          <w:tcPr>
            <w:tcW w:w="603" w:type="pct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常规匀浆膳</w:t>
            </w:r>
          </w:p>
        </w:tc>
        <w:tc>
          <w:tcPr>
            <w:tcW w:w="533" w:type="pct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500g/袋</w:t>
            </w:r>
          </w:p>
        </w:tc>
        <w:tc>
          <w:tcPr>
            <w:tcW w:w="2453" w:type="pct"/>
            <w:vMerge w:val="restart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匀浆膳须含以下主要成分：能量、蛋白质、脂肪、碳水化合物、膳食纤维、维生素、矿物质等。高纤维匀浆膳（无糖）需不含蔗糖等糖类。匀浆膳配料均需标明营养成分。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603" w:type="pct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无糖匀浆膳</w:t>
            </w:r>
          </w:p>
        </w:tc>
        <w:tc>
          <w:tcPr>
            <w:tcW w:w="533" w:type="pct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500g/袋</w:t>
            </w:r>
          </w:p>
        </w:tc>
        <w:tc>
          <w:tcPr>
            <w:tcW w:w="2453" w:type="pct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40" w:beforeAutospacing="0" w:after="90" w:afterAutospacing="0" w:line="23" w:lineRule="atLeast"/>
        <w:ind w:left="0" w:right="0"/>
        <w:jc w:val="left"/>
        <w:rPr>
          <w:rFonts w:hint="default" w:ascii="Times New Roman" w:hAnsi="Times New Roman" w:cs="Times New Roman"/>
          <w:b/>
          <w:bCs/>
          <w:color w:val="1E293B"/>
          <w:sz w:val="24"/>
          <w:szCs w:val="24"/>
        </w:rPr>
      </w:pPr>
      <w:r>
        <w:rPr>
          <w:rFonts w:hint="default" w:ascii="Times New Roman" w:hAnsi="Times New Roman" w:eastAsia="宋体" w:cs="Times New Roman"/>
          <w:b/>
          <w:bCs/>
          <w:color w:val="1E293B"/>
          <w:sz w:val="24"/>
          <w:szCs w:val="24"/>
          <w:shd w:val="clear" w:fill="FFFFFF"/>
        </w:rPr>
        <w:t>序号十一：西点类</w:t>
      </w:r>
    </w:p>
    <w:tbl>
      <w:tblPr>
        <w:tblStyle w:val="2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99"/>
        <w:gridCol w:w="2248"/>
        <w:gridCol w:w="1416"/>
        <w:gridCol w:w="2256"/>
        <w:gridCol w:w="112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品类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商品名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规格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单价（元）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品牌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restart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西点类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面包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60g/只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蛋糕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80g/只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木糖醇蛋糕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60g/只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40" w:beforeAutospacing="0" w:after="90" w:afterAutospacing="0" w:line="23" w:lineRule="atLeast"/>
        <w:ind w:left="0" w:right="0"/>
        <w:jc w:val="left"/>
        <w:rPr>
          <w:rFonts w:hint="default" w:ascii="Times New Roman" w:hAnsi="Times New Roman" w:cs="Times New Roman"/>
          <w:b/>
          <w:bCs/>
          <w:color w:val="1E293B"/>
          <w:sz w:val="24"/>
          <w:szCs w:val="24"/>
        </w:rPr>
      </w:pPr>
      <w:r>
        <w:rPr>
          <w:rFonts w:hint="default" w:ascii="Times New Roman" w:hAnsi="Times New Roman" w:eastAsia="宋体" w:cs="Times New Roman"/>
          <w:b/>
          <w:bCs/>
          <w:color w:val="1E293B"/>
          <w:sz w:val="24"/>
          <w:szCs w:val="24"/>
          <w:shd w:val="clear" w:fill="FFFFFF"/>
        </w:rPr>
        <w:t>序号十二：酱菜类</w:t>
      </w:r>
    </w:p>
    <w:tbl>
      <w:tblPr>
        <w:tblStyle w:val="2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532"/>
        <w:gridCol w:w="1915"/>
        <w:gridCol w:w="1639"/>
        <w:gridCol w:w="2307"/>
        <w:gridCol w:w="115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品类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商品名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规格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单价（元）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品牌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restart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酱菜类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开胃菜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350g/瓶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下饭菜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350g/瓶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梅干菜沫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斤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脆瓜片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斤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腐乳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500g/瓶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海宁菜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斤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什锦菜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斤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姜片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斤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咸菜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斤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八宝酱菜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斤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酱小黄瓜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375g/瓶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腌大头菜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斤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榨菜丝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斤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群英荟萃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斤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腌缸豆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斤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青咸菜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斤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40" w:beforeAutospacing="0" w:after="90" w:afterAutospacing="0" w:line="23" w:lineRule="atLeast"/>
        <w:ind w:left="0" w:right="0"/>
        <w:jc w:val="left"/>
        <w:rPr>
          <w:rFonts w:hint="default" w:ascii="Times New Roman" w:hAnsi="Times New Roman" w:cs="Times New Roman"/>
          <w:b/>
          <w:bCs/>
          <w:color w:val="1E293B"/>
          <w:sz w:val="24"/>
          <w:szCs w:val="24"/>
        </w:rPr>
      </w:pPr>
      <w:r>
        <w:rPr>
          <w:rFonts w:hint="default" w:ascii="Times New Roman" w:hAnsi="Times New Roman" w:eastAsia="宋体" w:cs="Times New Roman"/>
          <w:b/>
          <w:bCs/>
          <w:color w:val="1E293B"/>
          <w:sz w:val="24"/>
          <w:szCs w:val="24"/>
          <w:shd w:val="clear" w:fill="FFFFFF"/>
        </w:rPr>
        <w:t>序号十三：早点类</w:t>
      </w:r>
    </w:p>
    <w:tbl>
      <w:tblPr>
        <w:tblStyle w:val="2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64"/>
        <w:gridCol w:w="1706"/>
        <w:gridCol w:w="2396"/>
        <w:gridCol w:w="2054"/>
        <w:gridCol w:w="102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品类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商品名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规格（份量）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单价（元）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F1F5F9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b/>
                <w:bCs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1E293B"/>
                <w:sz w:val="24"/>
                <w:szCs w:val="24"/>
              </w:rPr>
              <w:t>品牌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restart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早点类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油条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根（）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薄荷糕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块（）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肉饺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只（）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青圆子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个（）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肉粽子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个（）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早餐奶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袋（）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雪饺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只（）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生面条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斤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vMerge w:val="continue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大馄饨皮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spacing w:line="23" w:lineRule="atLeast"/>
              <w:jc w:val="center"/>
              <w:textAlignment w:val="top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1E293B"/>
                <w:sz w:val="24"/>
                <w:szCs w:val="24"/>
              </w:rPr>
              <w:t>斤</w:t>
            </w: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color="9CA3AF" w:sz="6" w:space="0"/>
              <w:left w:val="single" w:color="9CA3AF" w:sz="6" w:space="0"/>
              <w:bottom w:val="single" w:color="9CA3AF" w:sz="6" w:space="0"/>
              <w:right w:val="single" w:color="9CA3AF" w:sz="6" w:space="0"/>
            </w:tcBorders>
            <w:shd w:val="clear" w:color="auto" w:fill="auto"/>
            <w:tcMar>
              <w:top w:w="90" w:type="dxa"/>
              <w:left w:w="120" w:type="dxa"/>
              <w:bottom w:w="90" w:type="dxa"/>
              <w:right w:w="120" w:type="dxa"/>
            </w:tcMar>
            <w:vAlign w:val="top"/>
          </w:tcPr>
          <w:p>
            <w:pPr>
              <w:jc w:val="center"/>
              <w:rPr>
                <w:rFonts w:hint="default" w:ascii="Times New Roman" w:hAnsi="Times New Roman" w:cs="Times New Roman"/>
                <w:color w:val="1E293B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375" w:beforeAutospacing="0" w:after="90" w:afterAutospacing="0" w:line="23" w:lineRule="atLeast"/>
        <w:ind w:left="0" w:right="0"/>
        <w:jc w:val="left"/>
        <w:rPr>
          <w:rFonts w:hint="default" w:ascii="Times New Roman" w:hAnsi="Times New Roman" w:eastAsia="宋体" w:cs="Times New Roman"/>
          <w:b/>
          <w:bCs/>
          <w:color w:val="1E293B"/>
          <w:sz w:val="24"/>
          <w:szCs w:val="24"/>
          <w:shd w:val="clear" w:fill="FFFFFF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375" w:beforeAutospacing="0" w:after="90" w:afterAutospacing="0" w:line="23" w:lineRule="atLeast"/>
        <w:ind w:left="0" w:right="0"/>
        <w:jc w:val="left"/>
        <w:rPr>
          <w:rFonts w:hint="default" w:ascii="Times New Roman" w:hAnsi="Times New Roman" w:eastAsia="宋体" w:cs="Times New Roman"/>
          <w:b/>
          <w:bCs/>
          <w:color w:val="1E293B"/>
          <w:sz w:val="24"/>
          <w:szCs w:val="24"/>
          <w:shd w:val="clear" w:fill="FFFFFF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375" w:beforeAutospacing="0" w:after="90" w:afterAutospacing="0" w:line="23" w:lineRule="atLeast"/>
        <w:ind w:left="0" w:right="0"/>
        <w:jc w:val="left"/>
        <w:rPr>
          <w:rFonts w:hint="default" w:ascii="Times New Roman" w:hAnsi="Times New Roman" w:eastAsia="宋体" w:cs="Times New Roman"/>
          <w:b/>
          <w:bCs/>
          <w:color w:val="1E293B"/>
          <w:sz w:val="24"/>
          <w:szCs w:val="24"/>
          <w:shd w:val="clear" w:fill="FFFFFF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375" w:beforeAutospacing="0" w:after="90" w:afterAutospacing="0" w:line="23" w:lineRule="atLeast"/>
        <w:ind w:left="0" w:right="0"/>
        <w:jc w:val="left"/>
        <w:rPr>
          <w:rFonts w:hint="default" w:ascii="Times New Roman" w:hAnsi="Times New Roman" w:eastAsia="宋体" w:cs="Times New Roman"/>
          <w:b/>
          <w:bCs/>
          <w:color w:val="1E293B"/>
          <w:sz w:val="24"/>
          <w:szCs w:val="24"/>
          <w:shd w:val="clear" w:fill="FFFFFF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7D73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left"/>
    </w:pPr>
    <w:rPr>
      <w:rFonts w:asciiTheme="minorEastAsia" w:hAnsiTheme="minorEastAsia" w:eastAsiaTheme="minorEastAsia" w:cstheme="minorEastAsia"/>
      <w:kern w:val="0"/>
      <w:sz w:val="24"/>
      <w:szCs w:val="24"/>
      <w:lang w:val="en-US" w:eastAsia="zh-CN" w:bidi="ar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2026-04-13T06:32:39Z</dcterms:created>
  <dc:creator>ower</dc:creator>
  <cp:lastModifiedBy>ower</cp:lastModifiedBy>
  <dcterms:modified xsi:type="dcterms:W3CDTF">2026-04-13T06:34:26Z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</Properties>
</file>