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b/>
          <w:bCs/>
          <w:color w:val="auto"/>
          <w:sz w:val="32"/>
          <w:szCs w:val="32"/>
        </w:rPr>
      </w:pPr>
      <w:bookmarkStart w:id="0" w:name="OLE_LINK1"/>
      <w:r>
        <w:rPr>
          <w:rFonts w:hint="eastAsia"/>
          <w:b/>
          <w:bCs/>
          <w:color w:val="auto"/>
          <w:sz w:val="32"/>
          <w:szCs w:val="32"/>
        </w:rPr>
        <w:t>湖州市第三人民医院电子政务视联网等信息服务采购项目</w:t>
      </w:r>
    </w:p>
    <w:bookmarkEnd w:id="0"/>
    <w:p>
      <w:pPr>
        <w:pStyle w:val="3"/>
        <w:numPr>
          <w:ilvl w:val="0"/>
          <w:numId w:val="1"/>
        </w:numPr>
        <w:spacing w:before="200" w:after="200"/>
        <w:rPr>
          <w:color w:val="auto"/>
          <w:sz w:val="28"/>
          <w:szCs w:val="18"/>
        </w:rPr>
      </w:pPr>
      <w:r>
        <w:rPr>
          <w:rFonts w:hint="eastAsia"/>
          <w:color w:val="auto"/>
          <w:sz w:val="28"/>
          <w:szCs w:val="18"/>
        </w:rPr>
        <w:t>供应商资质</w:t>
      </w:r>
    </w:p>
    <w:p>
      <w:pPr>
        <w:pStyle w:val="6"/>
        <w:widowControl/>
        <w:spacing w:beforeAutospacing="0" w:afterAutospacing="0"/>
        <w:rPr>
          <w:rFonts w:ascii="微软雅黑" w:hAnsi="微软雅黑" w:eastAsia="微软雅黑" w:cs="微软雅黑"/>
          <w:color w:val="auto"/>
          <w:spacing w:val="10"/>
          <w:sz w:val="21"/>
          <w:szCs w:val="21"/>
        </w:rPr>
      </w:pPr>
      <w:r>
        <w:rPr>
          <w:rFonts w:ascii="仿宋_GB2312" w:hAnsi="微软雅黑" w:eastAsia="仿宋_GB2312" w:cs="仿宋_GB2312"/>
          <w:color w:val="auto"/>
          <w:spacing w:val="15"/>
          <w:sz w:val="21"/>
          <w:szCs w:val="21"/>
        </w:rPr>
        <w:t>1</w:t>
      </w:r>
      <w:r>
        <w:rPr>
          <w:rFonts w:hint="eastAsia" w:ascii="仿宋_GB2312" w:hAnsi="微软雅黑" w:eastAsia="仿宋_GB2312" w:cs="仿宋_GB2312"/>
          <w:color w:val="auto"/>
          <w:spacing w:val="15"/>
          <w:sz w:val="21"/>
          <w:szCs w:val="21"/>
        </w:rPr>
        <w:t>.符合《中华人民共和国政府采购法》第二十二条的规定：</w:t>
      </w:r>
    </w:p>
    <w:p>
      <w:pPr>
        <w:pStyle w:val="6"/>
        <w:widowControl/>
        <w:spacing w:beforeAutospacing="0" w:afterAutospacing="0"/>
        <w:rPr>
          <w:rFonts w:ascii="微软雅黑" w:hAnsi="微软雅黑" w:eastAsia="微软雅黑" w:cs="微软雅黑"/>
          <w:color w:val="auto"/>
          <w:spacing w:val="10"/>
          <w:sz w:val="21"/>
          <w:szCs w:val="21"/>
        </w:rPr>
      </w:pPr>
      <w:r>
        <w:rPr>
          <w:rFonts w:hint="eastAsia" w:ascii="仿宋_GB2312" w:hAnsi="微软雅黑" w:eastAsia="仿宋_GB2312" w:cs="仿宋_GB2312"/>
          <w:color w:val="auto"/>
          <w:spacing w:val="15"/>
          <w:sz w:val="21"/>
          <w:szCs w:val="21"/>
        </w:rPr>
        <w:t>1.1 具有独立承担民事责任的能力；</w:t>
      </w:r>
    </w:p>
    <w:p>
      <w:pPr>
        <w:pStyle w:val="6"/>
        <w:widowControl/>
        <w:spacing w:beforeAutospacing="0" w:afterAutospacing="0"/>
        <w:rPr>
          <w:rFonts w:ascii="微软雅黑" w:hAnsi="微软雅黑" w:eastAsia="微软雅黑" w:cs="微软雅黑"/>
          <w:color w:val="auto"/>
          <w:spacing w:val="10"/>
          <w:sz w:val="21"/>
          <w:szCs w:val="21"/>
        </w:rPr>
      </w:pPr>
      <w:r>
        <w:rPr>
          <w:rFonts w:hint="eastAsia" w:ascii="仿宋_GB2312" w:hAnsi="微软雅黑" w:eastAsia="仿宋_GB2312" w:cs="仿宋_GB2312"/>
          <w:color w:val="auto"/>
          <w:spacing w:val="15"/>
          <w:sz w:val="21"/>
          <w:szCs w:val="21"/>
        </w:rPr>
        <w:t>1.2具有良好的商业信誉和健全的财务会计制度；</w:t>
      </w:r>
    </w:p>
    <w:p>
      <w:pPr>
        <w:pStyle w:val="6"/>
        <w:widowControl/>
        <w:spacing w:beforeAutospacing="0" w:afterAutospacing="0"/>
        <w:rPr>
          <w:rFonts w:ascii="微软雅黑" w:hAnsi="微软雅黑" w:eastAsia="微软雅黑" w:cs="微软雅黑"/>
          <w:color w:val="auto"/>
          <w:spacing w:val="10"/>
          <w:sz w:val="21"/>
          <w:szCs w:val="21"/>
        </w:rPr>
      </w:pPr>
      <w:r>
        <w:rPr>
          <w:rFonts w:hint="eastAsia" w:ascii="仿宋_GB2312" w:hAnsi="微软雅黑" w:eastAsia="仿宋_GB2312" w:cs="仿宋_GB2312"/>
          <w:color w:val="auto"/>
          <w:spacing w:val="15"/>
          <w:sz w:val="21"/>
          <w:szCs w:val="21"/>
        </w:rPr>
        <w:t>1.3具有履行合同所必需的设备和专业技术能力；</w:t>
      </w:r>
    </w:p>
    <w:p>
      <w:pPr>
        <w:pStyle w:val="6"/>
        <w:widowControl/>
        <w:spacing w:beforeAutospacing="0" w:afterAutospacing="0"/>
        <w:rPr>
          <w:rFonts w:ascii="微软雅黑" w:hAnsi="微软雅黑" w:eastAsia="微软雅黑" w:cs="微软雅黑"/>
          <w:color w:val="auto"/>
          <w:spacing w:val="10"/>
          <w:sz w:val="21"/>
          <w:szCs w:val="21"/>
        </w:rPr>
      </w:pPr>
      <w:r>
        <w:rPr>
          <w:rFonts w:hint="eastAsia" w:ascii="仿宋_GB2312" w:hAnsi="微软雅黑" w:eastAsia="仿宋_GB2312" w:cs="仿宋_GB2312"/>
          <w:color w:val="auto"/>
          <w:spacing w:val="15"/>
          <w:sz w:val="21"/>
          <w:szCs w:val="21"/>
        </w:rPr>
        <w:t>1.4有依法缴纳税收和社会保障资金的良好记录；</w:t>
      </w:r>
    </w:p>
    <w:p>
      <w:pPr>
        <w:pStyle w:val="6"/>
        <w:widowControl/>
        <w:spacing w:beforeAutospacing="0" w:afterAutospacing="0"/>
        <w:rPr>
          <w:rFonts w:hint="eastAsia" w:ascii="仿宋_GB2312" w:hAnsi="微软雅黑" w:eastAsia="仿宋_GB2312" w:cs="仿宋_GB2312"/>
          <w:color w:val="auto"/>
          <w:spacing w:val="15"/>
          <w:sz w:val="21"/>
          <w:szCs w:val="21"/>
        </w:rPr>
      </w:pPr>
      <w:r>
        <w:rPr>
          <w:rFonts w:hint="eastAsia" w:ascii="仿宋_GB2312" w:hAnsi="微软雅黑" w:eastAsia="仿宋_GB2312" w:cs="仿宋_GB2312"/>
          <w:color w:val="auto"/>
          <w:spacing w:val="15"/>
          <w:sz w:val="21"/>
          <w:szCs w:val="21"/>
        </w:rPr>
        <w:t>1.5参加政府采购活动前三年内，在经营活动中没有重大违法记录。</w:t>
      </w:r>
    </w:p>
    <w:p>
      <w:pPr>
        <w:pStyle w:val="6"/>
        <w:widowControl/>
        <w:spacing w:beforeAutospacing="0" w:afterAutospacing="0"/>
        <w:rPr>
          <w:rFonts w:hint="default" w:ascii="仿宋_GB2312" w:hAnsi="微软雅黑" w:eastAsia="仿宋_GB2312" w:cs="仿宋_GB2312"/>
          <w:color w:val="auto"/>
          <w:spacing w:val="15"/>
          <w:sz w:val="21"/>
          <w:szCs w:val="21"/>
          <w:lang w:val="en-US" w:eastAsia="zh-CN"/>
        </w:rPr>
      </w:pPr>
      <w:r>
        <w:rPr>
          <w:rFonts w:hint="eastAsia" w:ascii="仿宋_GB2312" w:hAnsi="微软雅黑" w:eastAsia="仿宋_GB2312" w:cs="仿宋_GB2312"/>
          <w:color w:val="auto"/>
          <w:spacing w:val="15"/>
          <w:sz w:val="21"/>
          <w:szCs w:val="21"/>
          <w:lang w:val="en-US" w:eastAsia="zh-CN"/>
        </w:rPr>
        <w:t>1.6</w:t>
      </w:r>
      <w:r>
        <w:rPr>
          <w:rFonts w:hint="eastAsia" w:ascii="仿宋_GB2312" w:hAnsi="微软雅黑" w:eastAsia="仿宋_GB2312" w:cs="仿宋_GB2312"/>
          <w:color w:val="auto"/>
          <w:spacing w:val="15"/>
          <w:sz w:val="21"/>
          <w:szCs w:val="21"/>
        </w:rPr>
        <w:t>银行、保险、石油石化、电力、电信等特殊行业可以总公司所设立的区域性分支机构参与投标，但必须获得总公司（总机构）授权或其他有效证明材料。</w:t>
      </w:r>
    </w:p>
    <w:p>
      <w:pPr>
        <w:pStyle w:val="6"/>
        <w:widowControl/>
        <w:spacing w:beforeAutospacing="0" w:afterAutospacing="0"/>
        <w:rPr>
          <w:rFonts w:ascii="微软雅黑" w:hAnsi="微软雅黑" w:eastAsia="微软雅黑" w:cs="微软雅黑"/>
          <w:color w:val="auto"/>
          <w:spacing w:val="10"/>
          <w:sz w:val="21"/>
          <w:szCs w:val="21"/>
        </w:rPr>
      </w:pPr>
      <w:r>
        <w:rPr>
          <w:rFonts w:hint="eastAsia" w:ascii="仿宋_GB2312" w:hAnsi="微软雅黑" w:eastAsia="仿宋_GB2312" w:cs="仿宋_GB2312"/>
          <w:color w:val="auto"/>
          <w:spacing w:val="15"/>
          <w:sz w:val="21"/>
          <w:szCs w:val="21"/>
        </w:rPr>
        <w:t>2.本项目不接受联合体参加投标。</w:t>
      </w:r>
    </w:p>
    <w:p>
      <w:pPr>
        <w:pStyle w:val="3"/>
        <w:spacing w:before="200" w:after="200"/>
        <w:rPr>
          <w:color w:val="auto"/>
          <w:sz w:val="28"/>
          <w:szCs w:val="18"/>
        </w:rPr>
      </w:pPr>
      <w:r>
        <w:rPr>
          <w:rFonts w:hint="eastAsia"/>
          <w:color w:val="auto"/>
          <w:sz w:val="28"/>
          <w:szCs w:val="18"/>
        </w:rPr>
        <w:t>二、采购清单</w:t>
      </w:r>
    </w:p>
    <w:tbl>
      <w:tblPr>
        <w:tblStyle w:val="8"/>
        <w:tblW w:w="8098" w:type="dxa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66"/>
        <w:gridCol w:w="4269"/>
        <w:gridCol w:w="666"/>
        <w:gridCol w:w="666"/>
        <w:gridCol w:w="1831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atLeast"/>
          <w:jc w:val="center"/>
        </w:trPr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</w:rPr>
            </w:pPr>
            <w:r>
              <w:rPr>
                <w:rFonts w:hint="eastAsia" w:ascii="仿宋" w:hAnsi="仿宋" w:eastAsia="仿宋" w:cs="仿宋"/>
                <w:color w:val="auto"/>
              </w:rPr>
              <w:t>序号</w:t>
            </w:r>
          </w:p>
        </w:tc>
        <w:tc>
          <w:tcPr>
            <w:tcW w:w="4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</w:rPr>
            </w:pPr>
            <w:r>
              <w:rPr>
                <w:rFonts w:hint="eastAsia" w:ascii="仿宋" w:hAnsi="仿宋" w:eastAsia="仿宋" w:cs="仿宋"/>
                <w:color w:val="auto"/>
              </w:rPr>
              <w:t>服务内容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</w:rPr>
            </w:pPr>
            <w:r>
              <w:rPr>
                <w:rFonts w:hint="eastAsia" w:ascii="仿宋" w:hAnsi="仿宋" w:eastAsia="仿宋" w:cs="仿宋"/>
                <w:color w:val="auto"/>
              </w:rPr>
              <w:t>数量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</w:rPr>
            </w:pPr>
            <w:r>
              <w:rPr>
                <w:rFonts w:hint="eastAsia" w:ascii="仿宋" w:hAnsi="仿宋" w:eastAsia="仿宋" w:cs="仿宋"/>
                <w:color w:val="auto"/>
              </w:rPr>
              <w:t>单位</w:t>
            </w: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</w:rPr>
            </w:pPr>
            <w:r>
              <w:rPr>
                <w:rFonts w:hint="eastAsia" w:ascii="仿宋" w:hAnsi="仿宋" w:eastAsia="仿宋" w:cs="仿宋"/>
                <w:color w:val="auto"/>
              </w:rPr>
              <w:t>技术要求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atLeast"/>
          <w:jc w:val="center"/>
        </w:trPr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</w:rPr>
            </w:pPr>
            <w:r>
              <w:rPr>
                <w:rFonts w:hint="eastAsia" w:ascii="仿宋" w:hAnsi="仿宋" w:eastAsia="仿宋" w:cs="仿宋"/>
                <w:color w:val="auto"/>
              </w:rPr>
              <w:t>1</w:t>
            </w:r>
          </w:p>
        </w:tc>
        <w:tc>
          <w:tcPr>
            <w:tcW w:w="42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</w:rPr>
            </w:pPr>
            <w:r>
              <w:rPr>
                <w:rFonts w:hint="eastAsia" w:ascii="仿宋" w:hAnsi="仿宋" w:eastAsia="仿宋" w:cs="仿宋"/>
                <w:color w:val="auto"/>
              </w:rPr>
              <w:t>互联网接入服务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</w:rPr>
            </w:pPr>
            <w:r>
              <w:rPr>
                <w:rFonts w:hint="eastAsia" w:ascii="仿宋" w:hAnsi="仿宋" w:eastAsia="仿宋" w:cs="仿宋"/>
                <w:color w:val="auto"/>
              </w:rPr>
              <w:t>1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</w:rPr>
            </w:pPr>
            <w:r>
              <w:rPr>
                <w:rFonts w:hint="eastAsia" w:ascii="仿宋" w:hAnsi="仿宋" w:eastAsia="仿宋" w:cs="仿宋"/>
                <w:color w:val="auto"/>
              </w:rPr>
              <w:t>项</w:t>
            </w: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</w:rPr>
            </w:pPr>
            <w:r>
              <w:rPr>
                <w:rFonts w:hint="eastAsia" w:ascii="仿宋" w:hAnsi="仿宋" w:eastAsia="仿宋" w:cs="仿宋"/>
                <w:color w:val="auto"/>
              </w:rPr>
              <w:t>详见技术要求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</w:rPr>
            </w:pPr>
            <w:r>
              <w:rPr>
                <w:rFonts w:hint="eastAsia" w:ascii="仿宋" w:hAnsi="仿宋" w:eastAsia="仿宋" w:cs="仿宋"/>
                <w:color w:val="auto"/>
              </w:rPr>
              <w:t>2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lang w:val="en-US" w:eastAsia="zh-CN"/>
              </w:rPr>
              <w:t>商务专线接入服务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</w:rPr>
            </w:pPr>
            <w:r>
              <w:rPr>
                <w:rFonts w:hint="eastAsia" w:ascii="仿宋" w:hAnsi="仿宋" w:eastAsia="仿宋" w:cs="仿宋"/>
                <w:color w:val="auto"/>
              </w:rPr>
              <w:t>1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</w:rPr>
            </w:pPr>
            <w:r>
              <w:rPr>
                <w:rFonts w:hint="eastAsia" w:ascii="仿宋" w:hAnsi="仿宋" w:eastAsia="仿宋" w:cs="仿宋"/>
                <w:color w:val="auto"/>
              </w:rPr>
              <w:t>项</w:t>
            </w: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</w:rPr>
            </w:pPr>
            <w:r>
              <w:rPr>
                <w:rFonts w:hint="eastAsia" w:ascii="仿宋" w:hAnsi="仿宋" w:eastAsia="仿宋" w:cs="仿宋"/>
                <w:color w:val="auto"/>
              </w:rPr>
              <w:t>详见技术要求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</w:rPr>
            </w:pPr>
            <w:r>
              <w:rPr>
                <w:rFonts w:hint="eastAsia" w:ascii="仿宋" w:hAnsi="仿宋" w:eastAsia="仿宋" w:cs="仿宋"/>
                <w:color w:val="auto"/>
              </w:rPr>
              <w:t>3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lang w:val="en-US" w:eastAsia="zh-CN"/>
              </w:rPr>
              <w:t>视联网会议系统接入服务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</w:rPr>
            </w:pPr>
            <w:r>
              <w:rPr>
                <w:rFonts w:hint="eastAsia" w:ascii="仿宋" w:hAnsi="仿宋" w:eastAsia="仿宋" w:cs="仿宋"/>
                <w:color w:val="auto"/>
              </w:rPr>
              <w:t>1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</w:rPr>
            </w:pPr>
            <w:r>
              <w:rPr>
                <w:rFonts w:hint="eastAsia" w:ascii="仿宋" w:hAnsi="仿宋" w:eastAsia="仿宋" w:cs="仿宋"/>
                <w:color w:val="auto"/>
              </w:rPr>
              <w:t>项</w:t>
            </w: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</w:rPr>
            </w:pPr>
            <w:r>
              <w:rPr>
                <w:rFonts w:hint="eastAsia" w:ascii="仿宋" w:hAnsi="仿宋" w:eastAsia="仿宋" w:cs="仿宋"/>
                <w:color w:val="auto"/>
              </w:rPr>
              <w:t>详见技术要求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</w:rPr>
            </w:pPr>
            <w:r>
              <w:rPr>
                <w:rFonts w:hint="eastAsia" w:ascii="仿宋" w:hAnsi="仿宋" w:eastAsia="仿宋" w:cs="仿宋"/>
                <w:color w:val="auto"/>
              </w:rPr>
              <w:t>4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lang w:val="en-US" w:eastAsia="zh-CN"/>
              </w:rPr>
              <w:t>云MAS短信平台服务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</w:rPr>
            </w:pPr>
            <w:r>
              <w:rPr>
                <w:rFonts w:hint="eastAsia" w:ascii="仿宋" w:hAnsi="仿宋" w:eastAsia="仿宋" w:cs="仿宋"/>
                <w:color w:val="auto"/>
              </w:rPr>
              <w:t>1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</w:rPr>
            </w:pPr>
            <w:r>
              <w:rPr>
                <w:rFonts w:hint="eastAsia" w:ascii="仿宋" w:hAnsi="仿宋" w:eastAsia="仿宋" w:cs="仿宋"/>
                <w:color w:val="auto"/>
              </w:rPr>
              <w:t>项</w:t>
            </w: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</w:rPr>
            </w:pPr>
            <w:r>
              <w:rPr>
                <w:rFonts w:hint="eastAsia" w:ascii="仿宋" w:hAnsi="仿宋" w:eastAsia="仿宋" w:cs="仿宋"/>
                <w:color w:val="auto"/>
              </w:rPr>
              <w:t>详见技术要求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6" w:hRule="atLeast"/>
          <w:jc w:val="center"/>
        </w:trPr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lang w:val="en-US" w:eastAsia="zh-CN"/>
              </w:rPr>
              <w:t>5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lang w:val="en-US" w:eastAsia="zh-CN"/>
              </w:rPr>
              <w:t>地区内MPLS VPN接入服务</w:t>
            </w:r>
          </w:p>
        </w:tc>
        <w:tc>
          <w:tcPr>
            <w:tcW w:w="0" w:type="auto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lang w:val="en-US" w:eastAsia="zh-CN"/>
              </w:rPr>
              <w:t>1</w:t>
            </w:r>
          </w:p>
        </w:tc>
        <w:tc>
          <w:tcPr>
            <w:tcW w:w="66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</w:rPr>
            </w:pPr>
            <w:r>
              <w:rPr>
                <w:rFonts w:hint="eastAsia" w:ascii="仿宋" w:hAnsi="仿宋" w:eastAsia="仿宋" w:cs="仿宋"/>
                <w:color w:val="auto"/>
              </w:rPr>
              <w:t>项</w:t>
            </w:r>
          </w:p>
        </w:tc>
        <w:tc>
          <w:tcPr>
            <w:tcW w:w="1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color w:val="auto"/>
              </w:rPr>
            </w:pPr>
            <w:r>
              <w:rPr>
                <w:rFonts w:hint="eastAsia" w:ascii="仿宋" w:hAnsi="仿宋" w:eastAsia="仿宋" w:cs="仿宋"/>
                <w:color w:val="auto"/>
              </w:rPr>
              <w:t>详见技术要求</w:t>
            </w:r>
          </w:p>
        </w:tc>
      </w:tr>
    </w:tbl>
    <w:p>
      <w:pPr>
        <w:pStyle w:val="3"/>
        <w:spacing w:before="200" w:after="200"/>
        <w:rPr>
          <w:color w:val="auto"/>
          <w:sz w:val="28"/>
          <w:szCs w:val="18"/>
        </w:rPr>
      </w:pPr>
      <w:r>
        <w:rPr>
          <w:rFonts w:hint="eastAsia"/>
          <w:color w:val="auto"/>
          <w:sz w:val="28"/>
          <w:szCs w:val="18"/>
        </w:rPr>
        <w:t>三、技术要求</w:t>
      </w:r>
    </w:p>
    <w:tbl>
      <w:tblPr>
        <w:tblStyle w:val="8"/>
        <w:tblW w:w="8424" w:type="dxa"/>
        <w:tblInd w:w="98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38"/>
        <w:gridCol w:w="1857"/>
        <w:gridCol w:w="602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  <w:lang w:bidi="ar"/>
              </w:rPr>
              <w:t>序号</w:t>
            </w:r>
          </w:p>
        </w:tc>
        <w:tc>
          <w:tcPr>
            <w:tcW w:w="1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  <w:lang w:bidi="ar"/>
              </w:rPr>
              <w:t>名称</w:t>
            </w:r>
          </w:p>
        </w:tc>
        <w:tc>
          <w:tcPr>
            <w:tcW w:w="60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  <w:lang w:bidi="ar"/>
              </w:rPr>
              <w:t>技术要求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  <w:lang w:bidi="ar"/>
              </w:rPr>
              <w:t>1</w:t>
            </w:r>
          </w:p>
        </w:tc>
        <w:tc>
          <w:tcPr>
            <w:tcW w:w="1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  <w:lang w:bidi="ar"/>
              </w:rPr>
              <w:t>互联网接入服务</w:t>
            </w:r>
          </w:p>
        </w:tc>
        <w:tc>
          <w:tcPr>
            <w:tcW w:w="60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</w:rPr>
              <w:t>固定IP地址，上下行对称，速率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  <w:lang w:val="en-US" w:eastAsia="zh-CN"/>
              </w:rPr>
              <w:t>100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</w:rPr>
              <w:t>M，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  <w:lang w:val="en-US" w:eastAsia="zh-CN"/>
              </w:rPr>
              <w:t>用于后勤楼员工宿舍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52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  <w:lang w:bidi="ar"/>
              </w:rPr>
              <w:t>2</w:t>
            </w:r>
          </w:p>
        </w:tc>
        <w:tc>
          <w:tcPr>
            <w:tcW w:w="1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  <w:lang w:val="en-US" w:eastAsia="zh-CN" w:bidi="ar"/>
              </w:rPr>
              <w:t>商务专线</w:t>
            </w:r>
          </w:p>
        </w:tc>
        <w:tc>
          <w:tcPr>
            <w:tcW w:w="60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jc w:val="left"/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</w:rPr>
              <w:t>固定IP地址，上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  <w:lang w:val="en-US" w:eastAsia="zh-CN"/>
              </w:rPr>
              <w:t>行不低于下行的90%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</w:rPr>
              <w:t>，速率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  <w:lang w:val="en-US" w:eastAsia="zh-CN"/>
              </w:rPr>
              <w:t>100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</w:rPr>
              <w:t>M，</w:t>
            </w:r>
            <w:r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  <w:lang w:val="en-US" w:eastAsia="zh-CN"/>
              </w:rPr>
              <w:t>用于医院备线网络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9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  <w:lang w:bidi="ar"/>
              </w:rPr>
              <w:t>3</w:t>
            </w:r>
          </w:p>
        </w:tc>
        <w:tc>
          <w:tcPr>
            <w:tcW w:w="1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  <w:lang w:val="en-US" w:eastAsia="zh-CN" w:bidi="ar"/>
              </w:rPr>
              <w:t>视联网会议系统服务</w:t>
            </w:r>
          </w:p>
        </w:tc>
        <w:tc>
          <w:tcPr>
            <w:tcW w:w="60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4"/>
              <w:ind w:left="0"/>
              <w:jc w:val="both"/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0"/>
                <w:sz w:val="21"/>
                <w:szCs w:val="21"/>
                <w:lang w:val="en-US" w:eastAsia="zh-CN" w:bidi="ar-SA"/>
              </w:rPr>
              <w:t>视联网终端作为新一代视联网高清视频通信终端，集4K图像编码、解码、画面合成等功能于一体。终端可承载众多视联网音视频业务，并结合视联网自主可控、高清实时、结构性安全等特征，灵活应用于视频会议、监控调度、可视电话、远程医疗、应急指挥等各类业务场景，可为用户提供极致4K视频应用体验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  <w:lang w:bidi="ar"/>
              </w:rPr>
              <w:t>4</w:t>
            </w:r>
          </w:p>
        </w:tc>
        <w:tc>
          <w:tcPr>
            <w:tcW w:w="1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  <w:lang w:val="en-US" w:eastAsia="zh-CN" w:bidi="ar"/>
              </w:rPr>
              <w:t>短信平台服务</w:t>
            </w:r>
          </w:p>
        </w:tc>
        <w:tc>
          <w:tcPr>
            <w:tcW w:w="60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numPr>
                <w:ilvl w:val="0"/>
                <w:numId w:val="2"/>
              </w:numPr>
              <w:jc w:val="left"/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三网合一号段：云MAS平台为客户提供10690三网合一号段业务，满足客户同一个号码三网发送需求</w:t>
            </w:r>
          </w:p>
          <w:p>
            <w:pPr>
              <w:pStyle w:val="4"/>
              <w:numPr>
                <w:ilvl w:val="0"/>
                <w:numId w:val="0"/>
              </w:numPr>
              <w:spacing w:line="312" w:lineRule="auto"/>
              <w:ind w:leftChars="0"/>
              <w:jc w:val="both"/>
              <w:rPr>
                <w:rFonts w:hint="eastAsia" w:ascii="仿宋" w:hAnsi="仿宋" w:eastAsia="仿宋" w:cs="仿宋"/>
                <w:b w:val="0"/>
                <w:bCs w:val="0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bookmarkStart w:id="1" w:name="_Toc490747633"/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2"/>
                <w:sz w:val="21"/>
                <w:szCs w:val="21"/>
                <w:lang w:val="en-US" w:eastAsia="zh-CN" w:bidi="ar-SA"/>
              </w:rPr>
              <w:t>2、短信及时性与成功率</w:t>
            </w:r>
            <w:bookmarkEnd w:id="1"/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2"/>
                <w:sz w:val="21"/>
                <w:szCs w:val="21"/>
                <w:lang w:val="en-US" w:eastAsia="zh-CN" w:bidi="ar-SA"/>
              </w:rPr>
              <w:t>：云MAS平台发送短信的及时性高，可以实现上、下行短信同时进行。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2"/>
                <w:sz w:val="21"/>
                <w:szCs w:val="21"/>
                <w:lang w:val="en-US" w:eastAsia="zh-Hans" w:bidi="ar-SA"/>
              </w:rPr>
              <w:t>云MAS短信平台整体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2"/>
                <w:sz w:val="21"/>
                <w:szCs w:val="21"/>
                <w:lang w:val="en-US" w:eastAsia="zh-CN" w:bidi="ar-SA"/>
              </w:rPr>
              <w:t>下行速率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2"/>
                <w:sz w:val="21"/>
                <w:szCs w:val="21"/>
                <w:lang w:val="en-US" w:eastAsia="zh-Hans" w:bidi="ar-SA"/>
              </w:rPr>
              <w:t>可达30000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2"/>
                <w:sz w:val="21"/>
                <w:szCs w:val="21"/>
                <w:lang w:val="en-US" w:eastAsia="zh-CN" w:bidi="ar-SA"/>
              </w:rPr>
              <w:t>条/秒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2"/>
                <w:sz w:val="21"/>
                <w:szCs w:val="21"/>
                <w:lang w:val="en-US" w:eastAsia="zh-Hans" w:bidi="ar-SA"/>
              </w:rPr>
              <w:t>以上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2"/>
                <w:sz w:val="21"/>
                <w:szCs w:val="21"/>
                <w:lang w:val="en-US" w:eastAsia="zh-CN" w:bidi="ar-SA"/>
              </w:rPr>
              <w:t>，根据用户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2"/>
                <w:sz w:val="21"/>
                <w:szCs w:val="21"/>
                <w:lang w:val="en-US" w:eastAsia="zh-Hans" w:bidi="ar-SA"/>
              </w:rPr>
              <w:t>业务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2"/>
                <w:sz w:val="21"/>
                <w:szCs w:val="21"/>
                <w:lang w:val="en-US" w:eastAsia="zh-CN" w:bidi="ar-SA"/>
              </w:rPr>
              <w:t>情况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2"/>
                <w:sz w:val="21"/>
                <w:szCs w:val="21"/>
                <w:lang w:val="en-US" w:eastAsia="zh-Hans" w:bidi="ar-SA"/>
              </w:rPr>
              <w:t>单客户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2"/>
                <w:sz w:val="21"/>
                <w:szCs w:val="21"/>
                <w:lang w:val="en-US" w:eastAsia="zh-CN" w:bidi="ar-SA"/>
              </w:rPr>
              <w:t>最高可达到2000条/秒。平台可以接受上行短信并查询短信的内容及号码。</w:t>
            </w:r>
          </w:p>
          <w:p>
            <w:pPr>
              <w:numPr>
                <w:ilvl w:val="0"/>
                <w:numId w:val="0"/>
              </w:numPr>
              <w:jc w:val="left"/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</w:rPr>
              <w:t>在短信内容不触发关键字拦截、通道畅通等正常情况下，云MAS平台推送到网关的成功率可以达到99.999%。</w:t>
            </w:r>
            <w:bookmarkStart w:id="2" w:name="_Toc490747643"/>
          </w:p>
          <w:p>
            <w:pPr>
              <w:numPr>
                <w:ilvl w:val="0"/>
                <w:numId w:val="3"/>
              </w:numPr>
              <w:jc w:val="left"/>
              <w:rPr>
                <w:rFonts w:hint="eastAsia" w:ascii="仿宋" w:hAnsi="仿宋" w:eastAsia="仿宋" w:cs="仿宋"/>
                <w:b w:val="0"/>
                <w:bCs w:val="0"/>
                <w:color w:val="auto"/>
                <w:kern w:val="2"/>
                <w:sz w:val="21"/>
                <w:szCs w:val="21"/>
                <w:lang w:val="en-US" w:eastAsia="zh-Hans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2"/>
                <w:sz w:val="21"/>
                <w:szCs w:val="21"/>
                <w:lang w:val="en-US" w:eastAsia="zh-CN" w:bidi="ar-SA"/>
              </w:rPr>
              <w:t>通道资源SSL加密</w:t>
            </w:r>
            <w:bookmarkEnd w:id="2"/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2"/>
                <w:sz w:val="21"/>
                <w:szCs w:val="21"/>
                <w:lang w:val="en-US" w:eastAsia="zh-CN" w:bidi="ar-SA"/>
              </w:rPr>
              <w:t>：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2"/>
                <w:sz w:val="21"/>
                <w:szCs w:val="21"/>
                <w:lang w:val="en-US" w:eastAsia="zh-Hans" w:bidi="ar-SA"/>
              </w:rPr>
              <w:t>为保证用户数据的安全性，云MAS平台在用户与平台间建立一条SSL安全加密隧道，用户的数据在加密隧道内以密文的方式传输，避免了在互联网上明文传输的不安全隐患，可有效防止端口被盗。</w:t>
            </w:r>
          </w:p>
          <w:p>
            <w:pPr>
              <w:pStyle w:val="2"/>
              <w:numPr>
                <w:ilvl w:val="0"/>
                <w:numId w:val="3"/>
              </w:numP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2"/>
                <w:sz w:val="21"/>
                <w:szCs w:val="21"/>
                <w:lang w:val="en-US" w:eastAsia="zh-CN" w:bidi="ar-SA"/>
              </w:rPr>
              <w:t>短信发送量400000条/年，超出另算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0" w:hRule="atLeast"/>
        </w:trPr>
        <w:tc>
          <w:tcPr>
            <w:tcW w:w="53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  <w:lang w:val="en-US" w:eastAsia="zh-CN" w:bidi="ar"/>
              </w:rPr>
              <w:t>5</w:t>
            </w:r>
          </w:p>
        </w:tc>
        <w:tc>
          <w:tcPr>
            <w:tcW w:w="185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仿宋" w:hAnsi="仿宋" w:eastAsia="仿宋" w:cs="仿宋"/>
                <w:color w:val="auto"/>
                <w:kern w:val="0"/>
                <w:sz w:val="21"/>
                <w:szCs w:val="21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color w:val="auto"/>
                <w:sz w:val="21"/>
                <w:szCs w:val="21"/>
                <w:lang w:val="en-US" w:eastAsia="zh-CN"/>
              </w:rPr>
              <w:t>地区内MPLS VPN接入服务</w:t>
            </w:r>
          </w:p>
        </w:tc>
        <w:tc>
          <w:tcPr>
            <w:tcW w:w="602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2"/>
              <w:numPr>
                <w:ilvl w:val="0"/>
                <w:numId w:val="0"/>
              </w:numPr>
              <w:rPr>
                <w:rFonts w:hint="eastAsia" w:ascii="仿宋" w:hAnsi="仿宋" w:eastAsia="仿宋" w:cs="仿宋"/>
                <w:b w:val="0"/>
                <w:bCs w:val="0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2"/>
                <w:sz w:val="21"/>
                <w:szCs w:val="21"/>
                <w:lang w:val="en-US" w:eastAsia="zh-CN" w:bidi="ar-SA"/>
              </w:rPr>
              <w:t>专用网络服务主要提供隔离的、专用的网络环境，以支持企业的特定需求。其核心功能包括：</w:t>
            </w:r>
          </w:p>
          <w:p>
            <w:pPr>
              <w:pStyle w:val="2"/>
              <w:numPr>
                <w:ilvl w:val="0"/>
                <w:numId w:val="0"/>
              </w:numPr>
              <w:rPr>
                <w:rFonts w:hint="eastAsia" w:ascii="仿宋" w:hAnsi="仿宋" w:eastAsia="仿宋" w:cs="仿宋"/>
                <w:b w:val="0"/>
                <w:bCs w:val="0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2"/>
                <w:sz w:val="21"/>
                <w:szCs w:val="21"/>
                <w:lang w:val="en-US" w:eastAsia="zh-CN" w:bidi="ar-SA"/>
              </w:rPr>
              <w:t>1、网络隔离：确保专用网络与公共网络或其他用户网络完全隔离。</w:t>
            </w:r>
          </w:p>
          <w:p>
            <w:pPr>
              <w:pStyle w:val="2"/>
              <w:numPr>
                <w:ilvl w:val="0"/>
                <w:numId w:val="0"/>
              </w:numPr>
              <w:rPr>
                <w:rFonts w:hint="eastAsia" w:ascii="仿宋" w:hAnsi="仿宋" w:eastAsia="仿宋" w:cs="仿宋"/>
                <w:b w:val="0"/>
                <w:bCs w:val="0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2"/>
                <w:sz w:val="21"/>
                <w:szCs w:val="21"/>
                <w:lang w:val="en-US" w:eastAsia="zh-CN" w:bidi="ar-SA"/>
              </w:rPr>
              <w:t>2、带宽保证：提供稳定不小于1G的带宽，满足高流量应用的需求。</w:t>
            </w:r>
          </w:p>
          <w:p>
            <w:pPr>
              <w:pStyle w:val="2"/>
              <w:numPr>
                <w:ilvl w:val="0"/>
                <w:numId w:val="0"/>
              </w:numPr>
              <w:rPr>
                <w:rFonts w:hint="eastAsia" w:ascii="仿宋" w:hAnsi="仿宋" w:eastAsia="仿宋" w:cs="仿宋"/>
                <w:b w:val="0"/>
                <w:bCs w:val="0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2"/>
                <w:sz w:val="21"/>
                <w:szCs w:val="21"/>
                <w:lang w:val="en-US" w:eastAsia="zh-CN" w:bidi="ar-SA"/>
              </w:rPr>
              <w:t>网络管理：提供全面的网络管理服务，包括流量监控、性能优化和故障处理。</w:t>
            </w:r>
          </w:p>
          <w:p>
            <w:pPr>
              <w:pStyle w:val="2"/>
              <w:numPr>
                <w:ilvl w:val="0"/>
                <w:numId w:val="0"/>
              </w:numPr>
              <w:rPr>
                <w:rFonts w:hint="eastAsia" w:ascii="仿宋" w:hAnsi="仿宋" w:eastAsia="仿宋" w:cs="仿宋"/>
                <w:b w:val="0"/>
                <w:bCs w:val="0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2"/>
                <w:sz w:val="21"/>
                <w:szCs w:val="21"/>
                <w:lang w:val="en-US" w:eastAsia="zh-CN" w:bidi="ar-SA"/>
              </w:rPr>
              <w:t>3、安全加固：增强网络安全性，防止未经授权的访问和攻击。</w:t>
            </w:r>
          </w:p>
          <w:p>
            <w:pPr>
              <w:pStyle w:val="2"/>
              <w:numPr>
                <w:ilvl w:val="0"/>
                <w:numId w:val="0"/>
              </w:numPr>
              <w:rPr>
                <w:rFonts w:hint="eastAsia" w:ascii="仿宋" w:hAnsi="仿宋" w:eastAsia="仿宋" w:cs="仿宋"/>
                <w:b w:val="0"/>
                <w:bCs w:val="0"/>
                <w:color w:val="auto"/>
                <w:kern w:val="2"/>
                <w:sz w:val="21"/>
                <w:szCs w:val="21"/>
                <w:lang w:val="en-US" w:eastAsia="zh-CN" w:bidi="ar-SA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kern w:val="2"/>
                <w:sz w:val="21"/>
                <w:szCs w:val="21"/>
                <w:lang w:val="en-US" w:eastAsia="zh-CN" w:bidi="ar-SA"/>
              </w:rPr>
              <w:t>灵活扩展：支持网络规模的灵活扩展，以应对业务增长。</w:t>
            </w:r>
          </w:p>
        </w:tc>
      </w:tr>
    </w:tbl>
    <w:p>
      <w:pPr>
        <w:rPr>
          <w:color w:val="auto"/>
        </w:rPr>
      </w:pPr>
    </w:p>
    <w:p>
      <w:pPr>
        <w:rPr>
          <w:color w:val="auto"/>
        </w:rPr>
      </w:pPr>
    </w:p>
    <w:p>
      <w:pPr>
        <w:spacing w:line="360" w:lineRule="auto"/>
        <w:ind w:firstLine="480" w:firstLineChars="200"/>
        <w:rPr>
          <w:rFonts w:ascii="宋体" w:hAnsi="宋体" w:eastAsia="宋体" w:cs="宋体"/>
          <w:color w:val="auto"/>
          <w:sz w:val="24"/>
          <w:szCs w:val="32"/>
        </w:rPr>
      </w:pPr>
      <w:bookmarkStart w:id="3" w:name="_GoBack"/>
      <w:bookmarkEnd w:id="3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D6911E37"/>
    <w:multiLevelType w:val="singleLevel"/>
    <w:tmpl w:val="D6911E37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0FDAF898"/>
    <w:multiLevelType w:val="singleLevel"/>
    <w:tmpl w:val="0FDAF898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2">
    <w:nsid w:val="4F073930"/>
    <w:multiLevelType w:val="singleLevel"/>
    <w:tmpl w:val="4F073930"/>
    <w:lvl w:ilvl="0" w:tentative="0">
      <w:start w:val="3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7241"/>
    <w:rsid w:val="002C41FE"/>
    <w:rsid w:val="003A3557"/>
    <w:rsid w:val="00453CF0"/>
    <w:rsid w:val="006529E1"/>
    <w:rsid w:val="006553D9"/>
    <w:rsid w:val="0068400C"/>
    <w:rsid w:val="006B39E8"/>
    <w:rsid w:val="00853191"/>
    <w:rsid w:val="009A3639"/>
    <w:rsid w:val="00E47241"/>
    <w:rsid w:val="00FD41CD"/>
    <w:rsid w:val="059A3D10"/>
    <w:rsid w:val="06D705E4"/>
    <w:rsid w:val="08F868B1"/>
    <w:rsid w:val="0B0A5387"/>
    <w:rsid w:val="0D312920"/>
    <w:rsid w:val="0D754339"/>
    <w:rsid w:val="138A6624"/>
    <w:rsid w:val="14947D3E"/>
    <w:rsid w:val="16A82F3A"/>
    <w:rsid w:val="250D47F0"/>
    <w:rsid w:val="25DD39AD"/>
    <w:rsid w:val="318C69B3"/>
    <w:rsid w:val="329276B9"/>
    <w:rsid w:val="36F5792F"/>
    <w:rsid w:val="3A6E3658"/>
    <w:rsid w:val="3F814489"/>
    <w:rsid w:val="439D2CE0"/>
    <w:rsid w:val="4ABC3A48"/>
    <w:rsid w:val="4B1F004D"/>
    <w:rsid w:val="4F644633"/>
    <w:rsid w:val="50361239"/>
    <w:rsid w:val="534C68D8"/>
    <w:rsid w:val="551A6506"/>
    <w:rsid w:val="55ED43CB"/>
    <w:rsid w:val="5B782013"/>
    <w:rsid w:val="6DFC01EC"/>
    <w:rsid w:val="6E0D7A9C"/>
    <w:rsid w:val="716952A0"/>
    <w:rsid w:val="726E55A8"/>
    <w:rsid w:val="72F34CFF"/>
    <w:rsid w:val="75CF69ED"/>
    <w:rsid w:val="77E84005"/>
    <w:rsid w:val="78C55973"/>
    <w:rsid w:val="7CB303F4"/>
    <w:rsid w:val="7DEF35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qFormat="1" w:unhideWhenUsed="0" w:uiPriority="99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spacing w:before="340" w:after="330" w:line="576" w:lineRule="auto"/>
      <w:outlineLvl w:val="0"/>
    </w:pPr>
    <w:rPr>
      <w:b/>
      <w:kern w:val="44"/>
      <w:sz w:val="44"/>
    </w:rPr>
  </w:style>
  <w:style w:type="paragraph" w:styleId="4">
    <w:name w:val="heading 2"/>
    <w:basedOn w:val="1"/>
    <w:next w:val="1"/>
    <w:qFormat/>
    <w:uiPriority w:val="0"/>
    <w:pPr>
      <w:spacing w:line="500" w:lineRule="exact"/>
      <w:ind w:left="215"/>
      <w:jc w:val="center"/>
      <w:outlineLvl w:val="1"/>
    </w:pPr>
    <w:rPr>
      <w:rFonts w:ascii="宋体" w:hAnsi="宋体" w:eastAsia="仿宋" w:cs="宋体"/>
      <w:b/>
      <w:bCs/>
      <w:sz w:val="28"/>
      <w:lang w:val="zh-CN" w:bidi="zh-CN"/>
    </w:rPr>
  </w:style>
  <w:style w:type="character" w:default="1" w:styleId="10">
    <w:name w:val="Default Paragraph Font"/>
    <w:semiHidden/>
    <w:unhideWhenUsed/>
    <w:qFormat/>
    <w:uiPriority w:val="1"/>
  </w:style>
  <w:style w:type="table" w:default="1" w:styleId="8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next w:val="1"/>
    <w:qFormat/>
    <w:uiPriority w:val="0"/>
    <w:rPr>
      <w:rFonts w:ascii="宋体" w:hAnsi="宋体"/>
      <w:sz w:val="28"/>
    </w:rPr>
  </w:style>
  <w:style w:type="paragraph" w:styleId="5">
    <w:name w:val="Body Text Indent 3"/>
    <w:basedOn w:val="1"/>
    <w:qFormat/>
    <w:uiPriority w:val="99"/>
    <w:pPr>
      <w:spacing w:after="120"/>
      <w:ind w:left="420" w:leftChars="200"/>
    </w:pPr>
    <w:rPr>
      <w:sz w:val="16"/>
      <w:szCs w:val="16"/>
    </w:rPr>
  </w:style>
  <w:style w:type="paragraph" w:styleId="6">
    <w:name w:val="Normal (Web)"/>
    <w:basedOn w:val="1"/>
    <w:qFormat/>
    <w:uiPriority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7">
    <w:name w:val="Body Text First Indent"/>
    <w:basedOn w:val="2"/>
    <w:next w:val="1"/>
    <w:qFormat/>
    <w:uiPriority w:val="0"/>
    <w:pPr>
      <w:spacing w:line="312" w:lineRule="auto"/>
      <w:ind w:firstLine="420"/>
    </w:pPr>
  </w:style>
  <w:style w:type="table" w:styleId="9">
    <w:name w:val="Table Grid"/>
    <w:basedOn w:val="8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11">
    <w:name w:val="List Paragraph"/>
    <w:basedOn w:val="1"/>
    <w:qFormat/>
    <w:uiPriority w:val="99"/>
    <w:pPr>
      <w:ind w:firstLine="420" w:firstLineChars="200"/>
    </w:pPr>
  </w:style>
  <w:style w:type="character" w:customStyle="1" w:styleId="12">
    <w:name w:val="font21"/>
    <w:basedOn w:val="10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  <w:style w:type="character" w:customStyle="1" w:styleId="13">
    <w:name w:val="font41"/>
    <w:basedOn w:val="10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China</Company>
  <Pages>6</Pages>
  <Words>914</Words>
  <Characters>5213</Characters>
  <Lines>43</Lines>
  <Paragraphs>12</Paragraphs>
  <TotalTime>24</TotalTime>
  <ScaleCrop>false</ScaleCrop>
  <LinksUpToDate>false</LinksUpToDate>
  <CharactersWithSpaces>6115</CharactersWithSpaces>
  <Application>WPS Office_11.8.2.10154_F1E327BC-269C-435d-A152-05C5408002CA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2025-06-09T01:06:00Z</dcterms:created>
  <dc:creator>Administrator</dc:creator>
  <cp:lastModifiedBy>睿睿麻麻</cp:lastModifiedBy>
  <dcterms:modified xsi:type="dcterms:W3CDTF">2026-04-08T03:34:54Z</dcterms:modified>
  <cp:revision>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2052-11.8.2.10154</vt:lpwstr>
  </property>
  <property fmtid="{D5CDD505-2E9C-101B-9397-08002B2CF9AE}" pid="3" name="KSOTemplateDocerSaveRecord">
    <vt:lpwstr>eyJoZGlkIjoiODZlZmUxZWViZDE1ZDA5MTc2ZGJlZDBlMjk3MDFmMTciLCJ1c2VySWQiOiI0MzAwNTU4MTIifQ==</vt:lpwstr>
  </property>
  <property fmtid="{D5CDD505-2E9C-101B-9397-08002B2CF9AE}" pid="4" name="ICV">
    <vt:lpwstr>33D747A6547446108BB1856D983AEAAE_13</vt:lpwstr>
  </property>
</Properties>
</file>