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b/>
          <w:bCs/>
          <w:sz w:val="32"/>
          <w:szCs w:val="32"/>
          <w:lang w:eastAsia="zh-CN"/>
        </w:rPr>
      </w:pPr>
      <w:r>
        <w:rPr>
          <w:rFonts w:hint="eastAsia"/>
          <w:b/>
          <w:bCs/>
          <w:sz w:val="32"/>
          <w:szCs w:val="32"/>
        </w:rPr>
        <w:t>湖州市第三人民医院</w:t>
      </w:r>
      <w:r>
        <w:rPr>
          <w:rFonts w:hint="eastAsia"/>
          <w:b/>
          <w:bCs/>
          <w:sz w:val="32"/>
          <w:szCs w:val="32"/>
          <w:lang w:val="en-US" w:eastAsia="zh-CN"/>
        </w:rPr>
        <w:t>网络</w:t>
      </w:r>
      <w:r>
        <w:rPr>
          <w:rFonts w:hint="eastAsia"/>
          <w:b/>
          <w:bCs/>
          <w:sz w:val="32"/>
          <w:szCs w:val="32"/>
        </w:rPr>
        <w:t>通信服务采购</w:t>
      </w:r>
      <w:r>
        <w:rPr>
          <w:rFonts w:hint="eastAsia"/>
          <w:b/>
          <w:bCs/>
          <w:sz w:val="32"/>
          <w:szCs w:val="32"/>
          <w:lang w:eastAsia="zh-CN"/>
        </w:rPr>
        <w:t>需求</w:t>
      </w:r>
    </w:p>
    <w:p>
      <w:pPr>
        <w:pStyle w:val="5"/>
        <w:numPr>
          <w:ilvl w:val="0"/>
          <w:numId w:val="1"/>
        </w:numPr>
        <w:spacing w:before="200" w:after="200"/>
        <w:rPr>
          <w:sz w:val="28"/>
          <w:szCs w:val="18"/>
        </w:rPr>
      </w:pPr>
      <w:r>
        <w:rPr>
          <w:rFonts w:hint="eastAsia"/>
          <w:sz w:val="28"/>
          <w:szCs w:val="18"/>
        </w:rPr>
        <w:t>供应商资质</w:t>
      </w:r>
    </w:p>
    <w:p>
      <w:pPr>
        <w:pStyle w:val="8"/>
        <w:widowControl/>
        <w:spacing w:beforeAutospacing="0" w:afterAutospacing="0"/>
        <w:rPr>
          <w:rFonts w:ascii="微软雅黑" w:hAnsi="微软雅黑" w:eastAsia="微软雅黑" w:cs="微软雅黑"/>
          <w:color w:val="111111"/>
          <w:spacing w:val="10"/>
          <w:sz w:val="21"/>
          <w:szCs w:val="21"/>
        </w:rPr>
      </w:pPr>
      <w:r>
        <w:rPr>
          <w:rFonts w:ascii="仿宋_GB2312" w:hAnsi="微软雅黑" w:eastAsia="仿宋_GB2312" w:cs="仿宋_GB2312"/>
          <w:color w:val="111111"/>
          <w:spacing w:val="15"/>
          <w:sz w:val="21"/>
          <w:szCs w:val="21"/>
        </w:rPr>
        <w:t>1</w:t>
      </w:r>
      <w:r>
        <w:rPr>
          <w:rFonts w:hint="eastAsia" w:ascii="仿宋_GB2312" w:hAnsi="微软雅黑" w:eastAsia="仿宋_GB2312" w:cs="仿宋_GB2312"/>
          <w:color w:val="111111"/>
          <w:spacing w:val="15"/>
          <w:sz w:val="21"/>
          <w:szCs w:val="21"/>
        </w:rPr>
        <w:t>.符合《中华人民共和国政府采购法》第二十二条的规定：</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1.1 具有独立承担民事责任的能力；</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1.2具有良好的商业信誉和健全的财务会计制度；</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1.3具有履行合同所必需的设备和专业技术能力；</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1.4有依法缴纳税收和社会保障资金的良好记录；</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1.5参加政府采购活动前三年内，在经营活动中没有重大违法记录。</w:t>
      </w:r>
    </w:p>
    <w:p>
      <w:pPr>
        <w:pStyle w:val="8"/>
        <w:widowControl/>
        <w:spacing w:beforeAutospacing="0" w:afterAutospacing="0"/>
        <w:rPr>
          <w:rFonts w:ascii="微软雅黑" w:hAnsi="微软雅黑" w:eastAsia="微软雅黑" w:cs="微软雅黑"/>
          <w:color w:val="111111"/>
          <w:spacing w:val="10"/>
          <w:sz w:val="21"/>
          <w:szCs w:val="21"/>
        </w:rPr>
      </w:pPr>
      <w:r>
        <w:rPr>
          <w:rFonts w:hint="eastAsia" w:ascii="仿宋_GB2312" w:hAnsi="微软雅黑" w:eastAsia="仿宋_GB2312" w:cs="仿宋_GB2312"/>
          <w:color w:val="111111"/>
          <w:spacing w:val="15"/>
          <w:sz w:val="21"/>
          <w:szCs w:val="21"/>
        </w:rPr>
        <w:t>2.本项目不接受联合体参加投标。</w:t>
      </w:r>
    </w:p>
    <w:p>
      <w:pPr>
        <w:pStyle w:val="5"/>
        <w:spacing w:before="200" w:after="200"/>
        <w:rPr>
          <w:sz w:val="28"/>
          <w:szCs w:val="18"/>
        </w:rPr>
      </w:pPr>
      <w:r>
        <w:rPr>
          <w:rFonts w:hint="eastAsia"/>
          <w:sz w:val="28"/>
          <w:szCs w:val="18"/>
        </w:rPr>
        <w:t>二、采购清单</w:t>
      </w:r>
    </w:p>
    <w:tbl>
      <w:tblPr>
        <w:tblStyle w:val="9"/>
        <w:tblW w:w="8098" w:type="dxa"/>
        <w:jc w:val="center"/>
        <w:tblLayout w:type="autofit"/>
        <w:tblCellMar>
          <w:top w:w="0" w:type="dxa"/>
          <w:left w:w="108" w:type="dxa"/>
          <w:bottom w:w="0" w:type="dxa"/>
          <w:right w:w="108" w:type="dxa"/>
        </w:tblCellMar>
      </w:tblPr>
      <w:tblGrid>
        <w:gridCol w:w="666"/>
        <w:gridCol w:w="4269"/>
        <w:gridCol w:w="666"/>
        <w:gridCol w:w="666"/>
        <w:gridCol w:w="1831"/>
      </w:tblGrid>
      <w:tr>
        <w:tblPrEx>
          <w:tblCellMar>
            <w:top w:w="0" w:type="dxa"/>
            <w:left w:w="108" w:type="dxa"/>
            <w:bottom w:w="0" w:type="dxa"/>
            <w:right w:w="108" w:type="dxa"/>
          </w:tblCellMar>
        </w:tblPrEx>
        <w:trPr>
          <w:trHeight w:val="356" w:hRule="atLeast"/>
          <w:jc w:val="center"/>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序号</w:t>
            </w:r>
          </w:p>
        </w:tc>
        <w:tc>
          <w:tcPr>
            <w:tcW w:w="4269"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服务内容</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数量</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单位</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技术要求</w:t>
            </w:r>
          </w:p>
        </w:tc>
      </w:tr>
      <w:tr>
        <w:tblPrEx>
          <w:tblCellMar>
            <w:top w:w="0" w:type="dxa"/>
            <w:left w:w="108" w:type="dxa"/>
            <w:bottom w:w="0" w:type="dxa"/>
            <w:right w:w="108" w:type="dxa"/>
          </w:tblCellMar>
        </w:tblPrEx>
        <w:trPr>
          <w:trHeight w:val="356" w:hRule="atLeast"/>
          <w:jc w:val="center"/>
        </w:trPr>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1</w:t>
            </w:r>
          </w:p>
        </w:tc>
        <w:tc>
          <w:tcPr>
            <w:tcW w:w="426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rPr>
            </w:pPr>
            <w:r>
              <w:rPr>
                <w:rFonts w:hint="eastAsia"/>
              </w:rPr>
              <w:t>综合楼互联网接入服务</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2</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移动护理网络通信服务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3</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卫生专网通信服务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4</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社保光纤（医保网络通信）服务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5</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食堂无线宽带服务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6</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人事科政务宽带服务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7</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污水站环保专线接入服务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8</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观凤宿舍宽带服务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5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9</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固定电话语音通信服务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7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10</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rPr>
            </w:pPr>
            <w:r>
              <w:rPr>
                <w:rFonts w:hint="eastAsia"/>
              </w:rPr>
              <w:t>医卫电视台</w:t>
            </w:r>
            <w:r>
              <w:rPr>
                <w:rFonts w:hint="eastAsia"/>
                <w:lang w:val="en-US" w:eastAsia="zh-CN"/>
              </w:rPr>
              <w:t>及无线接入</w:t>
            </w:r>
            <w:r>
              <w:rPr>
                <w:rFonts w:hint="eastAsia"/>
              </w:rPr>
              <w:t>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r>
              <w:rPr>
                <w:rFonts w:hint="eastAsia"/>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r>
              <w:rPr>
                <w:rFonts w:hint="eastAsia"/>
              </w:rPr>
              <w:t>详见技术要求</w:t>
            </w:r>
          </w:p>
        </w:tc>
      </w:tr>
      <w:tr>
        <w:tblPrEx>
          <w:tblCellMar>
            <w:top w:w="0" w:type="dxa"/>
            <w:left w:w="108" w:type="dxa"/>
            <w:bottom w:w="0" w:type="dxa"/>
            <w:right w:w="108" w:type="dxa"/>
          </w:tblCellMar>
        </w:tblPrEx>
        <w:trPr>
          <w:trHeight w:val="37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Theme="minorEastAsia"/>
                <w:lang w:val="en-US" w:eastAsia="zh-CN"/>
              </w:rPr>
            </w:pPr>
            <w:r>
              <w:rPr>
                <w:rFonts w:hint="eastAsia"/>
                <w:lang w:val="en-US" w:eastAsia="zh-CN"/>
              </w:rPr>
              <w:t>11</w:t>
            </w:r>
          </w:p>
        </w:tc>
        <w:tc>
          <w:tcPr>
            <w:tcW w:w="4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eastAsiaTheme="minorEastAsia"/>
                <w:lang w:val="en-US" w:eastAsia="zh-CN"/>
              </w:rPr>
            </w:pPr>
            <w:r>
              <w:rPr>
                <w:rFonts w:hint="eastAsia"/>
                <w:lang w:val="en-US" w:eastAsia="zh-CN"/>
              </w:rPr>
              <w:t>12306互联网专线服务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eastAsiaTheme="minorEastAsia"/>
                <w:lang w:val="en-US" w:eastAsia="zh-CN"/>
              </w:rPr>
            </w:pPr>
            <w:r>
              <w:rPr>
                <w:rFonts w:hint="eastAsia"/>
                <w:lang w:val="en-US" w:eastAsia="zh-CN"/>
              </w:rPr>
              <w:t>1</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Theme="minorHAnsi" w:hAnsiTheme="minorHAnsi" w:eastAsiaTheme="minorEastAsia" w:cstheme="minorBidi"/>
                <w:kern w:val="2"/>
                <w:sz w:val="21"/>
                <w:szCs w:val="24"/>
                <w:lang w:val="en-US" w:eastAsia="zh-CN" w:bidi="ar-SA"/>
              </w:rPr>
            </w:pPr>
            <w:r>
              <w:rPr>
                <w:rFonts w:hint="eastAsia"/>
              </w:rPr>
              <w:t>项</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Theme="minorHAnsi" w:hAnsiTheme="minorHAnsi" w:eastAsiaTheme="minorEastAsia" w:cstheme="minorBidi"/>
                <w:kern w:val="2"/>
                <w:sz w:val="21"/>
                <w:szCs w:val="24"/>
                <w:lang w:val="en-US" w:eastAsia="zh-CN" w:bidi="ar-SA"/>
              </w:rPr>
            </w:pPr>
            <w:r>
              <w:rPr>
                <w:rFonts w:hint="eastAsia"/>
              </w:rPr>
              <w:t>详见技术要求</w:t>
            </w:r>
          </w:p>
        </w:tc>
      </w:tr>
    </w:tbl>
    <w:p>
      <w:pPr>
        <w:pStyle w:val="5"/>
        <w:spacing w:before="200" w:after="200"/>
        <w:rPr>
          <w:sz w:val="28"/>
          <w:szCs w:val="18"/>
        </w:rPr>
      </w:pPr>
      <w:r>
        <w:rPr>
          <w:rFonts w:hint="eastAsia"/>
          <w:sz w:val="28"/>
          <w:szCs w:val="18"/>
        </w:rPr>
        <w:t>三、技术要求</w:t>
      </w:r>
    </w:p>
    <w:tbl>
      <w:tblPr>
        <w:tblStyle w:val="9"/>
        <w:tblW w:w="8424" w:type="dxa"/>
        <w:tblInd w:w="98" w:type="dxa"/>
        <w:tblLayout w:type="fixed"/>
        <w:tblCellMar>
          <w:top w:w="0" w:type="dxa"/>
          <w:left w:w="108" w:type="dxa"/>
          <w:bottom w:w="0" w:type="dxa"/>
          <w:right w:w="108" w:type="dxa"/>
        </w:tblCellMar>
      </w:tblPr>
      <w:tblGrid>
        <w:gridCol w:w="538"/>
        <w:gridCol w:w="1857"/>
        <w:gridCol w:w="6029"/>
      </w:tblGrid>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序号</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名称</w:t>
            </w:r>
          </w:p>
        </w:tc>
        <w:tc>
          <w:tcPr>
            <w:tcW w:w="60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技术要求</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1</w:t>
            </w:r>
          </w:p>
        </w:tc>
        <w:tc>
          <w:tcPr>
            <w:tcW w:w="18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bCs/>
                <w:sz w:val="24"/>
              </w:rPr>
              <w:t>综合楼互联网接入服务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cs="宋体"/>
                <w:color w:val="000000"/>
                <w:kern w:val="0"/>
                <w:szCs w:val="21"/>
              </w:rPr>
            </w:pPr>
            <w:r>
              <w:rPr>
                <w:rFonts w:hint="eastAsia" w:ascii="宋体" w:hAnsi="宋体" w:cs="宋体"/>
                <w:color w:val="000000"/>
                <w:kern w:val="0"/>
                <w:szCs w:val="21"/>
              </w:rPr>
              <w:t>1.固定IP地址，上下行对称，速率300M，用于医院互联网服务整体出口。</w:t>
            </w:r>
          </w:p>
          <w:p>
            <w:pPr>
              <w:jc w:val="left"/>
              <w:rPr>
                <w:rFonts w:hint="eastAsia" w:ascii="宋体" w:hAnsi="宋体" w:cs="宋体"/>
                <w:color w:val="000000"/>
                <w:kern w:val="0"/>
                <w:szCs w:val="21"/>
              </w:rPr>
            </w:pPr>
            <w:r>
              <w:rPr>
                <w:rFonts w:hint="eastAsia" w:ascii="宋体" w:hAnsi="宋体" w:cs="宋体"/>
                <w:color w:val="000000"/>
                <w:kern w:val="0"/>
                <w:szCs w:val="21"/>
              </w:rPr>
              <w:t>2.防病毒：具备独立的勒索病毒防护模块，非普通防病毒功能，支持对湖州第三人民医院特定的业务进行勒索风险自动化评估，并依据评估结果自动生成防护策略。（需提供产品功能截图证明）；</w:t>
            </w:r>
          </w:p>
          <w:p>
            <w:pPr>
              <w:jc w:val="left"/>
              <w:rPr>
                <w:rFonts w:hint="eastAsia" w:ascii="宋体" w:hAnsi="宋体" w:cs="宋体"/>
                <w:color w:val="000000"/>
                <w:kern w:val="0"/>
                <w:szCs w:val="21"/>
              </w:rPr>
            </w:pPr>
            <w:r>
              <w:rPr>
                <w:rFonts w:hint="eastAsia" w:ascii="宋体" w:hAnsi="宋体" w:cs="宋体"/>
                <w:color w:val="000000"/>
                <w:kern w:val="0"/>
                <w:szCs w:val="21"/>
              </w:rPr>
              <w:t>3.云威胁情报网关：</w:t>
            </w:r>
          </w:p>
          <w:p>
            <w:pPr>
              <w:jc w:val="left"/>
              <w:rPr>
                <w:rFonts w:hint="eastAsia" w:ascii="宋体" w:hAnsi="宋体" w:cs="宋体"/>
                <w:color w:val="000000"/>
                <w:kern w:val="0"/>
                <w:szCs w:val="21"/>
              </w:rPr>
            </w:pPr>
            <w:r>
              <w:rPr>
                <w:rFonts w:hint="eastAsia" w:ascii="宋体" w:hAnsi="宋体" w:cs="宋体"/>
                <w:color w:val="000000"/>
                <w:kern w:val="0"/>
                <w:szCs w:val="21"/>
              </w:rPr>
              <w:t>3.1支持云威胁情报网关技术，实现对威胁流量就近进行实时检测&amp;拦截，实现失陷外联实时阻断，保护湖州第三人民医院资产安全。</w:t>
            </w:r>
          </w:p>
          <w:p>
            <w:pPr>
              <w:jc w:val="left"/>
              <w:rPr>
                <w:rFonts w:hint="eastAsia" w:ascii="宋体" w:hAnsi="宋体" w:cs="宋体"/>
                <w:color w:val="000000"/>
                <w:kern w:val="0"/>
                <w:szCs w:val="21"/>
              </w:rPr>
            </w:pPr>
            <w:r>
              <w:rPr>
                <w:rFonts w:hint="eastAsia" w:ascii="宋体" w:hAnsi="宋体" w:cs="宋体"/>
                <w:color w:val="000000"/>
                <w:kern w:val="0"/>
                <w:szCs w:val="21"/>
              </w:rPr>
              <w:t>3.2产品支持云端未知威胁主动探测技术，实现5min内未知威胁情报全网设备下发。</w:t>
            </w:r>
          </w:p>
          <w:p>
            <w:pPr>
              <w:numPr>
                <w:ilvl w:val="0"/>
                <w:numId w:val="2"/>
              </w:numPr>
              <w:jc w:val="left"/>
              <w:rPr>
                <w:rFonts w:hint="eastAsia" w:ascii="宋体" w:hAnsi="宋体" w:cs="宋体"/>
                <w:color w:val="000000"/>
                <w:kern w:val="0"/>
                <w:szCs w:val="21"/>
              </w:rPr>
            </w:pPr>
            <w:r>
              <w:rPr>
                <w:rFonts w:hint="eastAsia" w:ascii="宋体" w:hAnsi="宋体" w:cs="宋体"/>
                <w:color w:val="000000"/>
                <w:kern w:val="0"/>
                <w:szCs w:val="21"/>
              </w:rPr>
              <w:t>终端安全软件联动：需要支持与终端安全软件联动管理，在防火墙产品完成终端安全策略设置和内网终端安全软件的统一管理，支持检测到某主机有僵木蠕毒的C2通信时，手动或自动化将恶意域名信息下发到终端安全软件做C2通信的封锁遏制，支持管理员下发一键隔离指令，对终端恶意文件进行隔离。</w:t>
            </w:r>
          </w:p>
          <w:p>
            <w:pPr>
              <w:numPr>
                <w:ilvl w:val="0"/>
                <w:numId w:val="2"/>
              </w:numPr>
              <w:jc w:val="left"/>
              <w:rPr>
                <w:rFonts w:hint="eastAsia" w:ascii="宋体" w:hAnsi="宋体" w:cs="宋体"/>
                <w:color w:val="000000"/>
                <w:kern w:val="0"/>
                <w:szCs w:val="21"/>
              </w:rPr>
            </w:pPr>
            <w:r>
              <w:rPr>
                <w:rFonts w:hint="eastAsia" w:ascii="宋体" w:hAnsi="宋体" w:cs="宋体"/>
                <w:color w:val="000000"/>
                <w:kern w:val="0"/>
                <w:szCs w:val="21"/>
              </w:rPr>
              <w:t>智能运营;支持联动云端智能运营平台，支持流量日志分析、事件聚合、云端专家研判，安全事件可接受在微信端预警和处置。</w:t>
            </w:r>
          </w:p>
          <w:p>
            <w:pPr>
              <w:jc w:val="left"/>
            </w:pPr>
            <w:r>
              <w:rPr>
                <w:rFonts w:hint="eastAsia" w:ascii="宋体" w:hAnsi="宋体" w:cs="宋体"/>
                <w:color w:val="000000"/>
                <w:kern w:val="0"/>
                <w:szCs w:val="21"/>
              </w:rPr>
              <w:t>6.Web应用防御：产品需要支持服务器漏洞防扫描功能，并对扫描源IP进行日志记录和联动封锁。</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2</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移动护理网络通信服务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spacing w:after="0" w:line="440" w:lineRule="exact"/>
              <w:rPr>
                <w:rFonts w:hint="eastAsia" w:ascii="宋体" w:hAnsi="宋体"/>
                <w:bCs/>
                <w:sz w:val="24"/>
              </w:rPr>
            </w:pPr>
            <w:r>
              <w:rPr>
                <w:rFonts w:hint="eastAsia" w:ascii="宋体" w:hAnsi="宋体"/>
                <w:bCs/>
                <w:sz w:val="24"/>
              </w:rPr>
              <w:t>1.提供不小于100M带宽的移动护理医院内网VPN专线和域名服务；</w:t>
            </w:r>
          </w:p>
          <w:p>
            <w:pPr>
              <w:jc w:val="left"/>
            </w:pPr>
            <w:r>
              <w:rPr>
                <w:rFonts w:hint="eastAsia" w:ascii="宋体" w:hAnsi="宋体"/>
                <w:bCs/>
                <w:sz w:val="24"/>
              </w:rPr>
              <w:t>2.提供150张数量流量卡，满足移动护理系统所需专属流量；</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3</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卫生专网通信服务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cs="宋体"/>
                <w:color w:val="000000"/>
                <w:kern w:val="0"/>
                <w:szCs w:val="21"/>
              </w:rPr>
            </w:pPr>
            <w:r>
              <w:rPr>
                <w:rFonts w:hint="eastAsia" w:ascii="宋体" w:hAnsi="宋体" w:cs="宋体"/>
                <w:color w:val="000000"/>
                <w:kern w:val="0"/>
                <w:szCs w:val="21"/>
              </w:rPr>
              <w:t>1.固定IP地址，上下行对称，速率不小于1000M，连接卫生专网，为卫健数据高铁等应用服务；</w:t>
            </w:r>
          </w:p>
          <w:p>
            <w:pPr>
              <w:jc w:val="left"/>
              <w:rPr>
                <w:lang w:val="en-US"/>
              </w:rPr>
            </w:pPr>
            <w:r>
              <w:rPr>
                <w:rFonts w:hint="eastAsia" w:ascii="宋体" w:hAnsi="宋体" w:cs="宋体"/>
                <w:color w:val="000000"/>
                <w:kern w:val="0"/>
                <w:szCs w:val="21"/>
              </w:rPr>
              <w:t>2.服务商需充分了解卫生专网架构，提供卫生专网架构图，提供接入和保障网络安全能力；</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4</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社保光纤（医保网络通信）服务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cs="宋体"/>
                <w:color w:val="000000"/>
                <w:kern w:val="0"/>
                <w:szCs w:val="21"/>
              </w:rPr>
            </w:pPr>
            <w:r>
              <w:rPr>
                <w:rFonts w:hint="eastAsia" w:ascii="宋体" w:hAnsi="宋体" w:cs="宋体"/>
                <w:color w:val="000000"/>
                <w:kern w:val="0"/>
                <w:szCs w:val="21"/>
              </w:rPr>
              <w:t>1.固定IP地址，上下行对称，速率不小于200M，连接医保专网，为医保结算服务；</w:t>
            </w:r>
          </w:p>
          <w:p>
            <w:pPr>
              <w:jc w:val="left"/>
            </w:pPr>
            <w:r>
              <w:rPr>
                <w:rFonts w:hint="eastAsia" w:ascii="宋体" w:hAnsi="宋体" w:cs="宋体"/>
                <w:color w:val="000000"/>
                <w:kern w:val="0"/>
                <w:szCs w:val="21"/>
              </w:rPr>
              <w:t>2.投标人需充分了解医保专网架构，提供医保专网架构图，提供接入和保障网络安全能力；</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5</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食堂无线宽带服务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r>
              <w:rPr>
                <w:rFonts w:hint="eastAsia" w:ascii="宋体" w:hAnsi="宋体" w:cs="宋体"/>
                <w:color w:val="000000"/>
                <w:kern w:val="0"/>
                <w:szCs w:val="21"/>
              </w:rPr>
              <w:t>提供动态互联网IP地址，上下行非对称，下行速率1000M，上行30M，用于连接食堂无线使用；</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6</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人事科政务宽带服务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r>
              <w:rPr>
                <w:rFonts w:hint="eastAsia" w:ascii="宋体" w:hAnsi="宋体" w:cs="宋体"/>
                <w:color w:val="000000"/>
                <w:kern w:val="0"/>
                <w:szCs w:val="21"/>
              </w:rPr>
              <w:t>固定IP地址，上下行对称，速率100M，连接政务网，为政务各类应用服务；</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7</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cs="宋体"/>
                <w:color w:val="000000"/>
                <w:kern w:val="0"/>
                <w:szCs w:val="21"/>
              </w:rPr>
            </w:pPr>
            <w:r>
              <w:rPr>
                <w:rFonts w:hint="eastAsia" w:ascii="宋体" w:hAnsi="宋体" w:cs="宋体"/>
                <w:color w:val="000000"/>
                <w:kern w:val="0"/>
                <w:szCs w:val="21"/>
              </w:rPr>
              <w:t>污水站环保专线接入服务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cs="宋体"/>
                <w:color w:val="000000"/>
                <w:kern w:val="0"/>
                <w:szCs w:val="21"/>
              </w:rPr>
            </w:pPr>
            <w:r>
              <w:rPr>
                <w:rFonts w:hint="eastAsia" w:ascii="宋体" w:hAnsi="宋体" w:cs="宋体"/>
                <w:color w:val="000000"/>
                <w:kern w:val="0"/>
                <w:szCs w:val="21"/>
              </w:rPr>
              <w:t>1.固定IP地址，上下行对称，速率50M，连接环保污染源视频专网，为视频传输服务；</w:t>
            </w:r>
          </w:p>
          <w:p>
            <w:pPr>
              <w:jc w:val="left"/>
              <w:rPr>
                <w:rFonts w:hint="eastAsia" w:ascii="宋体" w:hAnsi="宋体" w:cs="宋体"/>
                <w:color w:val="000000"/>
                <w:kern w:val="0"/>
                <w:szCs w:val="21"/>
              </w:rPr>
            </w:pPr>
            <w:r>
              <w:rPr>
                <w:rFonts w:hint="eastAsia" w:ascii="宋体" w:hAnsi="宋体" w:cs="宋体"/>
                <w:color w:val="000000"/>
                <w:kern w:val="0"/>
                <w:szCs w:val="21"/>
              </w:rPr>
              <w:t>2.投标人需充分了解环保污染源专网架构，提供环保污染源专网架构图，提供接入和保障网络安全能力；</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观凤宿舍宽带服务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提供13条100M宽带，用于接入互联网；</w:t>
            </w:r>
          </w:p>
        </w:tc>
      </w:tr>
      <w:tr>
        <w:tblPrEx>
          <w:tblCellMar>
            <w:top w:w="0" w:type="dxa"/>
            <w:left w:w="108" w:type="dxa"/>
            <w:bottom w:w="0" w:type="dxa"/>
            <w:right w:w="108" w:type="dxa"/>
          </w:tblCellMar>
        </w:tblPrEx>
        <w:trPr>
          <w:trHeight w:val="31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9</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固定电话语音通信服务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提供306门固定电话，组建虚拟网；</w:t>
            </w:r>
          </w:p>
        </w:tc>
      </w:tr>
      <w:tr>
        <w:tblPrEx>
          <w:tblCellMar>
            <w:top w:w="0" w:type="dxa"/>
            <w:left w:w="108" w:type="dxa"/>
            <w:bottom w:w="0" w:type="dxa"/>
            <w:right w:w="108" w:type="dxa"/>
          </w:tblCellMar>
        </w:tblPrEx>
        <w:trPr>
          <w:trHeight w:val="32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10</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医卫电视台</w:t>
            </w:r>
            <w:r>
              <w:rPr>
                <w:rFonts w:hint="eastAsia" w:ascii="宋体" w:hAnsi="宋体" w:eastAsia="宋体" w:cs="宋体"/>
                <w:color w:val="000000"/>
                <w:kern w:val="0"/>
                <w:sz w:val="22"/>
                <w:szCs w:val="22"/>
                <w:lang w:val="en-US" w:eastAsia="zh-CN" w:bidi="ar"/>
              </w:rPr>
              <w:t>及无线接入</w:t>
            </w:r>
            <w:r>
              <w:rPr>
                <w:rFonts w:hint="eastAsia" w:ascii="宋体" w:hAnsi="宋体" w:eastAsia="宋体" w:cs="宋体"/>
                <w:color w:val="000000"/>
                <w:kern w:val="0"/>
                <w:sz w:val="22"/>
                <w:szCs w:val="22"/>
                <w:lang w:bidi="ar"/>
              </w:rPr>
              <w:t>服务</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default" w:ascii="宋体" w:hAnsi="宋体" w:eastAsia="宋体" w:cs="宋体"/>
                <w:color w:val="000000"/>
                <w:sz w:val="22"/>
                <w:szCs w:val="22"/>
                <w:lang w:val="en-US" w:eastAsia="zh-CN"/>
              </w:rPr>
            </w:pPr>
            <w:r>
              <w:rPr>
                <w:rFonts w:hint="eastAsia" w:ascii="宋体" w:hAnsi="宋体" w:eastAsia="宋体" w:cs="宋体"/>
                <w:color w:val="000000"/>
                <w:kern w:val="0"/>
                <w:sz w:val="22"/>
                <w:szCs w:val="22"/>
                <w:lang w:bidi="ar"/>
              </w:rPr>
              <w:t>提供319个点位医卫电视台，同时每个点位提供100M互联网接入服务；</w:t>
            </w:r>
            <w:r>
              <w:rPr>
                <w:rFonts w:hint="eastAsia" w:ascii="宋体" w:hAnsi="宋体" w:eastAsia="宋体" w:cs="宋体"/>
                <w:color w:val="000000"/>
                <w:kern w:val="0"/>
                <w:sz w:val="22"/>
                <w:szCs w:val="22"/>
                <w:lang w:val="en-US" w:eastAsia="zh-CN" w:bidi="ar"/>
              </w:rPr>
              <w:t>提供3套光纤无线接入服务，共3个主网关、20个子网关。</w:t>
            </w:r>
          </w:p>
        </w:tc>
      </w:tr>
      <w:tr>
        <w:tblPrEx>
          <w:tblCellMar>
            <w:top w:w="0" w:type="dxa"/>
            <w:left w:w="108" w:type="dxa"/>
            <w:bottom w:w="0" w:type="dxa"/>
            <w:right w:w="108" w:type="dxa"/>
          </w:tblCellMar>
        </w:tblPrEx>
        <w:trPr>
          <w:trHeight w:val="32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eastAsia="宋体" w:cs="宋体"/>
                <w:color w:val="000000"/>
                <w:kern w:val="0"/>
                <w:sz w:val="22"/>
                <w:szCs w:val="22"/>
                <w:lang w:val="en-US" w:eastAsia="zh-CN" w:bidi="ar"/>
              </w:rPr>
            </w:pPr>
            <w:r>
              <w:rPr>
                <w:rFonts w:hint="eastAsia" w:ascii="宋体" w:hAnsi="宋体" w:eastAsia="宋体" w:cs="宋体"/>
                <w:color w:val="000000"/>
                <w:kern w:val="0"/>
                <w:sz w:val="22"/>
                <w:szCs w:val="22"/>
                <w:lang w:val="en-US" w:eastAsia="zh-CN" w:bidi="ar"/>
              </w:rPr>
              <w:t>11</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eastAsia="宋体" w:cs="宋体"/>
                <w:color w:val="000000"/>
                <w:kern w:val="0"/>
                <w:sz w:val="22"/>
                <w:szCs w:val="22"/>
                <w:lang w:val="en-US" w:eastAsia="zh-CN" w:bidi="ar"/>
              </w:rPr>
            </w:pPr>
            <w:r>
              <w:rPr>
                <w:rFonts w:hint="eastAsia" w:ascii="宋体" w:hAnsi="宋体" w:eastAsia="宋体" w:cs="宋体"/>
                <w:color w:val="000000"/>
                <w:kern w:val="0"/>
                <w:sz w:val="22"/>
                <w:szCs w:val="22"/>
                <w:lang w:val="en-US" w:eastAsia="zh-CN" w:bidi="ar"/>
              </w:rPr>
              <w:t>12306互联网专线</w:t>
            </w:r>
          </w:p>
        </w:tc>
        <w:tc>
          <w:tcPr>
            <w:tcW w:w="6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宋体" w:hAnsi="宋体" w:eastAsia="宋体" w:cs="宋体"/>
                <w:color w:val="000000"/>
                <w:kern w:val="0"/>
                <w:sz w:val="22"/>
                <w:szCs w:val="22"/>
                <w:lang w:val="en-US" w:eastAsia="zh-CN" w:bidi="ar"/>
              </w:rPr>
            </w:pPr>
            <w:r>
              <w:rPr>
                <w:rFonts w:hint="eastAsia" w:ascii="宋体" w:hAnsi="宋体" w:cs="宋体"/>
                <w:color w:val="000000"/>
                <w:kern w:val="0"/>
                <w:szCs w:val="21"/>
              </w:rPr>
              <w:t>1.</w:t>
            </w:r>
            <w:r>
              <w:rPr>
                <w:rFonts w:hint="eastAsia" w:ascii="宋体" w:hAnsi="宋体" w:cs="宋体"/>
                <w:color w:val="000000"/>
                <w:kern w:val="0"/>
                <w:szCs w:val="21"/>
                <w:lang w:val="en-US" w:eastAsia="zh-CN"/>
              </w:rPr>
              <w:t>带1组互联网</w:t>
            </w:r>
            <w:r>
              <w:rPr>
                <w:rFonts w:hint="eastAsia" w:ascii="宋体" w:hAnsi="宋体" w:cs="宋体"/>
                <w:color w:val="000000"/>
                <w:kern w:val="0"/>
                <w:szCs w:val="21"/>
              </w:rPr>
              <w:t>固定IP地址，上下行对称，速率</w:t>
            </w:r>
            <w:r>
              <w:rPr>
                <w:rFonts w:hint="eastAsia" w:ascii="宋体" w:hAnsi="宋体" w:cs="宋体"/>
                <w:color w:val="000000"/>
                <w:kern w:val="0"/>
                <w:szCs w:val="21"/>
                <w:lang w:val="en-US" w:eastAsia="zh-CN"/>
              </w:rPr>
              <w:t>1</w:t>
            </w:r>
            <w:r>
              <w:rPr>
                <w:rFonts w:hint="eastAsia" w:ascii="宋体" w:hAnsi="宋体" w:cs="宋体"/>
                <w:color w:val="000000"/>
                <w:kern w:val="0"/>
                <w:szCs w:val="21"/>
              </w:rPr>
              <w:t>00M</w:t>
            </w:r>
            <w:r>
              <w:rPr>
                <w:rFonts w:hint="eastAsia" w:ascii="宋体" w:hAnsi="宋体" w:cs="宋体"/>
                <w:color w:val="000000"/>
                <w:kern w:val="0"/>
                <w:szCs w:val="21"/>
                <w:lang w:val="en-US" w:eastAsia="zh-CN"/>
              </w:rPr>
              <w:t>的互联网专线</w:t>
            </w:r>
            <w:r>
              <w:rPr>
                <w:rFonts w:hint="eastAsia" w:ascii="宋体" w:hAnsi="宋体" w:cs="宋体"/>
                <w:color w:val="000000"/>
                <w:kern w:val="0"/>
                <w:szCs w:val="21"/>
              </w:rPr>
              <w:t>，用于</w:t>
            </w:r>
            <w:r>
              <w:rPr>
                <w:rFonts w:hint="eastAsia" w:ascii="宋体" w:hAnsi="宋体" w:cs="宋体"/>
                <w:color w:val="000000"/>
                <w:kern w:val="0"/>
                <w:szCs w:val="21"/>
                <w:lang w:val="en-US" w:eastAsia="zh-CN"/>
              </w:rPr>
              <w:t>12306坐席话务</w:t>
            </w:r>
            <w:r>
              <w:rPr>
                <w:rFonts w:hint="eastAsia" w:ascii="宋体" w:hAnsi="宋体" w:cs="宋体"/>
                <w:color w:val="000000"/>
                <w:kern w:val="0"/>
                <w:szCs w:val="21"/>
              </w:rPr>
              <w:t>。</w:t>
            </w:r>
          </w:p>
        </w:tc>
      </w:tr>
    </w:tbl>
    <w:p>
      <w:pPr>
        <w:spacing w:line="360" w:lineRule="auto"/>
        <w:rPr>
          <w:rFonts w:ascii="宋体" w:hAnsi="宋体" w:eastAsia="宋体" w:cs="宋体"/>
          <w:sz w:val="24"/>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911E37"/>
    <w:multiLevelType w:val="singleLevel"/>
    <w:tmpl w:val="D6911E37"/>
    <w:lvl w:ilvl="0" w:tentative="0">
      <w:start w:val="1"/>
      <w:numFmt w:val="chineseCounting"/>
      <w:suff w:val="nothing"/>
      <w:lvlText w:val="%1、"/>
      <w:lvlJc w:val="left"/>
      <w:rPr>
        <w:rFonts w:hint="eastAsia"/>
      </w:rPr>
    </w:lvl>
  </w:abstractNum>
  <w:abstractNum w:abstractNumId="1">
    <w:nsid w:val="084FD6C6"/>
    <w:multiLevelType w:val="singleLevel"/>
    <w:tmpl w:val="084FD6C6"/>
    <w:lvl w:ilvl="0" w:tentative="0">
      <w:start w:val="4"/>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241"/>
    <w:rsid w:val="002C41FE"/>
    <w:rsid w:val="003A3557"/>
    <w:rsid w:val="00453CF0"/>
    <w:rsid w:val="006529E1"/>
    <w:rsid w:val="006553D9"/>
    <w:rsid w:val="0068400C"/>
    <w:rsid w:val="006B39E8"/>
    <w:rsid w:val="00853191"/>
    <w:rsid w:val="009A3639"/>
    <w:rsid w:val="00E47241"/>
    <w:rsid w:val="00FD41CD"/>
    <w:rsid w:val="059A3D10"/>
    <w:rsid w:val="06D705E4"/>
    <w:rsid w:val="08F868B1"/>
    <w:rsid w:val="0B0A5387"/>
    <w:rsid w:val="0D754339"/>
    <w:rsid w:val="0FBB7F3E"/>
    <w:rsid w:val="138A6624"/>
    <w:rsid w:val="318C69B3"/>
    <w:rsid w:val="36E0429C"/>
    <w:rsid w:val="3CC446A6"/>
    <w:rsid w:val="439D2CE0"/>
    <w:rsid w:val="4ABC3A48"/>
    <w:rsid w:val="4F644633"/>
    <w:rsid w:val="534C68D8"/>
    <w:rsid w:val="551A6506"/>
    <w:rsid w:val="5B782013"/>
    <w:rsid w:val="5CF5413E"/>
    <w:rsid w:val="70C82D61"/>
    <w:rsid w:val="72F34CFF"/>
    <w:rsid w:val="75CF69ED"/>
    <w:rsid w:val="7C8924FD"/>
    <w:rsid w:val="7CB303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99"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keepLines/>
      <w:spacing w:before="340" w:after="330" w:line="576" w:lineRule="auto"/>
      <w:outlineLvl w:val="0"/>
    </w:pPr>
    <w:rPr>
      <w:b/>
      <w:kern w:val="44"/>
      <w:sz w:val="44"/>
    </w:rPr>
  </w:style>
  <w:style w:type="paragraph" w:styleId="6">
    <w:name w:val="heading 2"/>
    <w:basedOn w:val="1"/>
    <w:next w:val="1"/>
    <w:qFormat/>
    <w:uiPriority w:val="0"/>
    <w:pPr>
      <w:spacing w:line="500" w:lineRule="exact"/>
      <w:ind w:left="215"/>
      <w:jc w:val="center"/>
      <w:outlineLvl w:val="1"/>
    </w:pPr>
    <w:rPr>
      <w:rFonts w:ascii="宋体" w:hAnsi="宋体" w:eastAsia="仿宋" w:cs="宋体"/>
      <w:b/>
      <w:bCs/>
      <w:sz w:val="28"/>
      <w:lang w:val="zh-CN" w:bidi="zh-CN"/>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表格文字"/>
    <w:basedOn w:val="1"/>
    <w:next w:val="3"/>
    <w:qFormat/>
    <w:uiPriority w:val="0"/>
    <w:pPr>
      <w:spacing w:before="25" w:after="25"/>
      <w:jc w:val="left"/>
    </w:pPr>
    <w:rPr>
      <w:bCs/>
      <w:spacing w:val="10"/>
      <w:kern w:val="0"/>
      <w:sz w:val="24"/>
      <w:szCs w:val="20"/>
    </w:rPr>
  </w:style>
  <w:style w:type="paragraph" w:styleId="3">
    <w:name w:val="Body Text"/>
    <w:basedOn w:val="1"/>
    <w:next w:val="4"/>
    <w:qFormat/>
    <w:uiPriority w:val="0"/>
    <w:rPr>
      <w:rFonts w:ascii="宋体" w:hAnsi="宋体"/>
      <w:sz w:val="28"/>
    </w:rPr>
  </w:style>
  <w:style w:type="paragraph" w:styleId="4">
    <w:name w:val="Body Text First Indent"/>
    <w:basedOn w:val="3"/>
    <w:next w:val="1"/>
    <w:qFormat/>
    <w:uiPriority w:val="0"/>
    <w:pPr>
      <w:spacing w:line="312" w:lineRule="auto"/>
      <w:ind w:firstLine="420"/>
    </w:pPr>
  </w:style>
  <w:style w:type="paragraph" w:styleId="7">
    <w:name w:val="Body Text Indent 3"/>
    <w:basedOn w:val="1"/>
    <w:qFormat/>
    <w:uiPriority w:val="99"/>
    <w:pPr>
      <w:spacing w:after="120"/>
      <w:ind w:left="420" w:leftChars="200"/>
    </w:pPr>
    <w:rPr>
      <w:sz w:val="16"/>
      <w:szCs w:val="16"/>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7</Pages>
  <Words>4303</Words>
  <Characters>4470</Characters>
  <Lines>43</Lines>
  <Paragraphs>12</Paragraphs>
  <TotalTime>3</TotalTime>
  <ScaleCrop>false</ScaleCrop>
  <LinksUpToDate>false</LinksUpToDate>
  <CharactersWithSpaces>4476</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2025-06-09T01:06:00Z</dcterms:created>
  <dc:creator>Administrator</dc:creator>
  <cp:lastModifiedBy>睿睿麻麻</cp:lastModifiedBy>
  <dcterms:modified xsi:type="dcterms:W3CDTF">2026-04-08T03:34:35Z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KSOTemplateDocerSaveRecord">
    <vt:lpwstr>eyJoZGlkIjoiODZlZmUxZWViZDE1ZDA5MTc2ZGJlZDBlMjk3MDFmMTciLCJ1c2VySWQiOiI0MzAwNTU4MTIifQ==</vt:lpwstr>
  </property>
  <property fmtid="{D5CDD505-2E9C-101B-9397-08002B2CF9AE}" pid="4" name="ICV">
    <vt:lpwstr>45E0FC1F03DF47AEB949F45196FDD255_12</vt:lpwstr>
  </property>
</Properties>
</file>