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ind w:left="0" w:leftChars="0" w:firstLine="546" w:firstLineChars="200"/>
        <w:jc w:val="center"/>
        <w:rPr>
          <w:rFonts w:hint="eastAsia" w:ascii="宋体" w:hAnsi="宋体" w:eastAsia="宋体" w:cs="宋体"/>
          <w:b/>
          <w:bCs w:val="0"/>
          <w:sz w:val="28"/>
          <w:szCs w:val="28"/>
          <w:lang w:val="en-US" w:eastAsia="zh-CN"/>
        </w:rPr>
      </w:pPr>
      <w:r>
        <w:rPr>
          <w:rFonts w:hint="eastAsia" w:ascii="宋体" w:hAnsi="宋体" w:eastAsia="宋体" w:cs="宋体"/>
          <w:b/>
          <w:bCs w:val="0"/>
          <w:sz w:val="28"/>
          <w:szCs w:val="28"/>
          <w:lang w:val="en-US" w:eastAsia="zh-CN"/>
        </w:rPr>
        <w:t>湖州市第三人民医院等保测评采购需求</w:t>
      </w:r>
    </w:p>
    <w:p>
      <w:pPr>
        <w:pStyle w:val="3"/>
        <w:ind w:left="0" w:leftChars="0" w:firstLine="464" w:firstLineChars="200"/>
        <w:rPr>
          <w:rFonts w:hint="eastAsia" w:ascii="宋体" w:hAnsi="宋体" w:eastAsia="宋体" w:cs="宋体"/>
          <w:b w:val="0"/>
          <w:bCs/>
          <w:sz w:val="24"/>
          <w:szCs w:val="24"/>
        </w:rPr>
      </w:pPr>
    </w:p>
    <w:p>
      <w:pPr>
        <w:pStyle w:val="3"/>
        <w:ind w:left="0" w:leftChars="0" w:firstLine="464" w:firstLineChars="200"/>
        <w:rPr>
          <w:rFonts w:hint="eastAsia" w:ascii="宋体" w:hAnsi="宋体" w:eastAsia="宋体" w:cs="宋体"/>
          <w:b w:val="0"/>
          <w:bCs/>
          <w:sz w:val="24"/>
          <w:szCs w:val="24"/>
        </w:rPr>
      </w:pPr>
      <w:r>
        <w:rPr>
          <w:rFonts w:hint="eastAsia" w:ascii="宋体" w:hAnsi="宋体" w:eastAsia="宋体" w:cs="宋体"/>
          <w:b w:val="0"/>
          <w:bCs/>
          <w:sz w:val="24"/>
          <w:szCs w:val="24"/>
        </w:rPr>
        <w:t>一、项目概况：</w:t>
      </w:r>
    </w:p>
    <w:p>
      <w:pPr>
        <w:pStyle w:val="3"/>
        <w:ind w:left="0" w:leftChars="0" w:firstLine="464" w:firstLineChars="200"/>
        <w:rPr>
          <w:rFonts w:hint="eastAsia" w:ascii="宋体" w:hAnsi="宋体" w:eastAsia="宋体" w:cs="宋体"/>
          <w:b w:val="0"/>
          <w:bCs/>
          <w:sz w:val="24"/>
          <w:szCs w:val="24"/>
        </w:rPr>
      </w:pPr>
      <w:r>
        <w:rPr>
          <w:rFonts w:hint="eastAsia" w:ascii="宋体" w:hAnsi="宋体" w:eastAsia="宋体" w:cs="宋体"/>
          <w:b w:val="0"/>
          <w:bCs/>
          <w:sz w:val="24"/>
          <w:szCs w:val="24"/>
        </w:rPr>
        <w:t>结合湖州</w:t>
      </w:r>
      <w:r>
        <w:rPr>
          <w:rFonts w:hint="eastAsia" w:ascii="宋体" w:hAnsi="宋体" w:eastAsia="宋体" w:cs="宋体"/>
          <w:b w:val="0"/>
          <w:bCs/>
          <w:sz w:val="24"/>
          <w:szCs w:val="24"/>
          <w:lang w:val="en-US" w:eastAsia="zh-CN"/>
        </w:rPr>
        <w:t>市第三人民医院</w:t>
      </w:r>
      <w:r>
        <w:rPr>
          <w:rFonts w:hint="eastAsia" w:ascii="宋体" w:hAnsi="宋体" w:eastAsia="宋体" w:cs="宋体"/>
          <w:b w:val="0"/>
          <w:bCs/>
          <w:sz w:val="24"/>
          <w:szCs w:val="24"/>
        </w:rPr>
        <w:t>信息化建设现状，计划对现有业务系统开展网络安全等级保护测评工作。</w:t>
      </w:r>
    </w:p>
    <w:p>
      <w:pPr>
        <w:pStyle w:val="3"/>
        <w:ind w:left="0" w:leftChars="0" w:firstLine="464" w:firstLineChars="200"/>
        <w:rPr>
          <w:rFonts w:hint="eastAsia" w:ascii="宋体" w:hAnsi="宋体" w:eastAsia="宋体" w:cs="宋体"/>
          <w:b w:val="0"/>
          <w:bCs/>
          <w:sz w:val="24"/>
          <w:szCs w:val="24"/>
        </w:rPr>
      </w:pPr>
      <w:r>
        <w:rPr>
          <w:rFonts w:hint="eastAsia" w:ascii="宋体" w:hAnsi="宋体" w:eastAsia="宋体" w:cs="宋体"/>
          <w:b w:val="0"/>
          <w:bCs/>
          <w:sz w:val="24"/>
          <w:szCs w:val="24"/>
        </w:rPr>
        <w:t>网络安全等级保护是国家网络安全保障的基本制度、基本策略、基本方法，开展网络安全等级保护工作是保护信息化发展、维护国家网络安全的根本保障。实施信息安全等级保护制度，信息系统运营使用单位和主管部门能按照标准进行安全建设、整改，信息系统安全也有了一个衡量尺度。</w:t>
      </w:r>
    </w:p>
    <w:p>
      <w:pPr>
        <w:pStyle w:val="3"/>
        <w:ind w:left="0" w:leftChars="0" w:firstLine="464" w:firstLineChars="200"/>
        <w:rPr>
          <w:rFonts w:hint="eastAsia" w:ascii="宋体" w:hAnsi="宋体" w:eastAsia="宋体" w:cs="宋体"/>
          <w:b w:val="0"/>
          <w:bCs/>
          <w:sz w:val="24"/>
          <w:szCs w:val="24"/>
        </w:rPr>
      </w:pPr>
      <w:r>
        <w:rPr>
          <w:rFonts w:hint="eastAsia" w:ascii="宋体" w:hAnsi="宋体" w:eastAsia="宋体" w:cs="宋体"/>
          <w:b w:val="0"/>
          <w:bCs/>
          <w:sz w:val="24"/>
          <w:szCs w:val="24"/>
        </w:rPr>
        <w:t>依据《中华人民共和国网络安全法》、《中华人民共和国计算机信息系统安全保护条例》（国务院147号令）、《国家信息化领导小组关于加强信息安全保障工作的意见》（中办发〔2003〕27号）、《关于信息安全等级保护工作的实施意见》（公通字〔2004〕66号）和《信息安全等级保护管理办法》（公通字〔2007〕43号）等相关文件及标准要求，需对我单位重要信息系统进行网络安全等级保护测评，具体工作要求详见下表。</w:t>
      </w:r>
    </w:p>
    <w:p>
      <w:pPr>
        <w:pStyle w:val="3"/>
        <w:ind w:left="0" w:leftChars="0" w:firstLine="464" w:firstLineChars="200"/>
        <w:rPr>
          <w:rFonts w:hint="eastAsia" w:ascii="宋体" w:hAnsi="宋体" w:eastAsia="宋体" w:cs="宋体"/>
          <w:b w:val="0"/>
          <w:bCs/>
          <w:kern w:val="2"/>
          <w:sz w:val="24"/>
          <w:szCs w:val="24"/>
          <w:lang w:val="en-US" w:eastAsia="zh-CN" w:bidi="ar-SA"/>
        </w:rPr>
      </w:pPr>
      <w:r>
        <w:rPr>
          <w:rFonts w:hint="eastAsia" w:ascii="宋体" w:hAnsi="宋体" w:eastAsia="宋体" w:cs="宋体"/>
          <w:b w:val="0"/>
          <w:bCs/>
          <w:sz w:val="24"/>
          <w:szCs w:val="24"/>
        </w:rPr>
        <w:t>二、</w:t>
      </w:r>
      <w:r>
        <w:rPr>
          <w:rFonts w:hint="eastAsia" w:ascii="宋体" w:hAnsi="宋体" w:eastAsia="宋体" w:cs="宋体"/>
          <w:b w:val="0"/>
          <w:bCs/>
          <w:kern w:val="2"/>
          <w:sz w:val="24"/>
          <w:szCs w:val="24"/>
          <w:lang w:val="en-US" w:eastAsia="zh-CN" w:bidi="ar-SA"/>
        </w:rPr>
        <w:t>项目内容：</w:t>
      </w:r>
    </w:p>
    <w:tbl>
      <w:tblPr>
        <w:tblStyle w:val="4"/>
        <w:tblW w:w="531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4"/>
        <w:gridCol w:w="1818"/>
        <w:gridCol w:w="4820"/>
        <w:gridCol w:w="11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3" w:type="pct"/>
            <w:noWrap w:val="0"/>
            <w:vAlign w:val="center"/>
          </w:tcPr>
          <w:p>
            <w:pPr>
              <w:spacing w:line="440" w:lineRule="exact"/>
              <w:jc w:val="center"/>
              <w:rPr>
                <w:rFonts w:hint="eastAsia" w:ascii="宋体" w:hAnsi="宋体" w:eastAsia="宋体" w:cs="宋体"/>
                <w:b w:val="0"/>
                <w:bCs/>
                <w:sz w:val="24"/>
                <w:szCs w:val="24"/>
              </w:rPr>
            </w:pPr>
            <w:r>
              <w:rPr>
                <w:rFonts w:hint="eastAsia" w:ascii="宋体" w:hAnsi="宋体" w:eastAsia="宋体" w:cs="宋体"/>
                <w:b w:val="0"/>
                <w:bCs/>
                <w:sz w:val="24"/>
                <w:szCs w:val="24"/>
              </w:rPr>
              <w:t>序号</w:t>
            </w:r>
          </w:p>
        </w:tc>
        <w:tc>
          <w:tcPr>
            <w:tcW w:w="1002" w:type="pct"/>
            <w:noWrap w:val="0"/>
            <w:vAlign w:val="center"/>
          </w:tcPr>
          <w:p>
            <w:pPr>
              <w:spacing w:line="440" w:lineRule="exact"/>
              <w:jc w:val="center"/>
              <w:rPr>
                <w:rFonts w:hint="eastAsia" w:ascii="宋体" w:hAnsi="宋体" w:eastAsia="宋体" w:cs="宋体"/>
                <w:b w:val="0"/>
                <w:bCs/>
                <w:sz w:val="24"/>
                <w:szCs w:val="24"/>
              </w:rPr>
            </w:pPr>
            <w:r>
              <w:rPr>
                <w:rFonts w:hint="eastAsia" w:ascii="宋体" w:hAnsi="宋体" w:eastAsia="宋体" w:cs="宋体"/>
                <w:b w:val="0"/>
                <w:bCs/>
                <w:sz w:val="24"/>
                <w:szCs w:val="24"/>
              </w:rPr>
              <w:t>内容</w:t>
            </w:r>
          </w:p>
        </w:tc>
        <w:tc>
          <w:tcPr>
            <w:tcW w:w="2657" w:type="pct"/>
            <w:noWrap w:val="0"/>
            <w:vAlign w:val="center"/>
          </w:tcPr>
          <w:p>
            <w:pPr>
              <w:spacing w:line="440" w:lineRule="exact"/>
              <w:jc w:val="center"/>
              <w:rPr>
                <w:rFonts w:hint="eastAsia" w:ascii="宋体" w:hAnsi="宋体" w:eastAsia="宋体" w:cs="宋体"/>
                <w:b w:val="0"/>
                <w:bCs/>
                <w:sz w:val="24"/>
                <w:szCs w:val="24"/>
              </w:rPr>
            </w:pPr>
            <w:r>
              <w:rPr>
                <w:rFonts w:hint="eastAsia" w:ascii="宋体" w:hAnsi="宋体" w:eastAsia="宋体" w:cs="宋体"/>
                <w:b w:val="0"/>
                <w:bCs/>
                <w:sz w:val="24"/>
                <w:szCs w:val="24"/>
              </w:rPr>
              <w:t>说明</w:t>
            </w:r>
          </w:p>
        </w:tc>
        <w:tc>
          <w:tcPr>
            <w:tcW w:w="636" w:type="pct"/>
            <w:noWrap w:val="0"/>
            <w:vAlign w:val="center"/>
          </w:tcPr>
          <w:p>
            <w:pPr>
              <w:spacing w:line="440" w:lineRule="exact"/>
              <w:jc w:val="center"/>
              <w:rPr>
                <w:rFonts w:hint="eastAsia" w:ascii="宋体" w:hAnsi="宋体" w:eastAsia="宋体" w:cs="宋体"/>
                <w:b w:val="0"/>
                <w:bCs/>
                <w:sz w:val="24"/>
                <w:szCs w:val="24"/>
                <w:lang w:val="en-US" w:eastAsia="zh-CN"/>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703" w:type="pct"/>
            <w:noWrap w:val="0"/>
            <w:vAlign w:val="center"/>
          </w:tcPr>
          <w:p>
            <w:pPr>
              <w:spacing w:line="440" w:lineRule="exact"/>
              <w:jc w:val="center"/>
              <w:rPr>
                <w:rFonts w:hint="eastAsia" w:ascii="宋体" w:hAnsi="宋体" w:eastAsia="宋体" w:cs="宋体"/>
                <w:b w:val="0"/>
                <w:bCs/>
                <w:sz w:val="24"/>
                <w:szCs w:val="24"/>
              </w:rPr>
            </w:pPr>
            <w:r>
              <w:rPr>
                <w:rFonts w:hint="eastAsia" w:ascii="宋体" w:hAnsi="宋体" w:eastAsia="宋体" w:cs="宋体"/>
                <w:b w:val="0"/>
                <w:bCs/>
                <w:kern w:val="0"/>
                <w:sz w:val="24"/>
                <w:szCs w:val="24"/>
              </w:rPr>
              <w:t>1</w:t>
            </w:r>
          </w:p>
        </w:tc>
        <w:tc>
          <w:tcPr>
            <w:tcW w:w="1002" w:type="pct"/>
            <w:noWrap w:val="0"/>
            <w:vAlign w:val="center"/>
          </w:tcPr>
          <w:p>
            <w:pPr>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三级等保测评服务</w:t>
            </w:r>
          </w:p>
        </w:tc>
        <w:tc>
          <w:tcPr>
            <w:tcW w:w="2657" w:type="pct"/>
            <w:noWrap w:val="0"/>
            <w:vAlign w:val="center"/>
          </w:tcPr>
          <w:p>
            <w:pPr>
              <w:numPr>
                <w:ilvl w:val="0"/>
                <w:numId w:val="1"/>
              </w:numPr>
              <w:spacing w:line="440" w:lineRule="exact"/>
              <w:rPr>
                <w:rFonts w:hint="eastAsia" w:ascii="宋体" w:hAnsi="宋体" w:eastAsia="宋体" w:cs="宋体"/>
                <w:b w:val="0"/>
                <w:bCs/>
                <w:sz w:val="24"/>
                <w:szCs w:val="24"/>
                <w:lang w:eastAsia="zh-CN"/>
              </w:rPr>
            </w:pPr>
            <w:r>
              <w:rPr>
                <w:rFonts w:hint="eastAsia" w:ascii="宋体" w:hAnsi="宋体" w:eastAsia="宋体" w:cs="宋体"/>
                <w:b w:val="0"/>
                <w:bCs/>
                <w:sz w:val="24"/>
                <w:szCs w:val="24"/>
              </w:rPr>
              <w:t>基础支撑系统</w:t>
            </w:r>
            <w:r>
              <w:rPr>
                <w:rFonts w:hint="eastAsia" w:ascii="宋体" w:hAnsi="宋体" w:eastAsia="宋体" w:cs="宋体"/>
                <w:b w:val="0"/>
                <w:bCs/>
                <w:sz w:val="24"/>
                <w:szCs w:val="24"/>
                <w:lang w:eastAsia="zh-CN"/>
              </w:rPr>
              <w:t>；</w:t>
            </w:r>
          </w:p>
          <w:p>
            <w:pPr>
              <w:numPr>
                <w:ilvl w:val="0"/>
                <w:numId w:val="1"/>
              </w:numPr>
              <w:spacing w:line="440" w:lineRule="exact"/>
              <w:rPr>
                <w:rFonts w:hint="eastAsia" w:ascii="宋体" w:hAnsi="宋体" w:eastAsia="宋体" w:cs="宋体"/>
                <w:b w:val="0"/>
                <w:bCs/>
                <w:sz w:val="24"/>
                <w:szCs w:val="24"/>
                <w:lang w:eastAsia="zh-CN"/>
              </w:rPr>
            </w:pPr>
            <w:r>
              <w:rPr>
                <w:rFonts w:hint="eastAsia" w:ascii="宋体" w:hAnsi="宋体" w:eastAsia="宋体" w:cs="宋体"/>
                <w:b w:val="0"/>
                <w:bCs/>
                <w:sz w:val="24"/>
                <w:szCs w:val="24"/>
                <w:lang w:eastAsia="zh-CN"/>
              </w:rPr>
              <w:t>面向患者服务系统；</w:t>
            </w:r>
          </w:p>
          <w:p>
            <w:pPr>
              <w:numPr>
                <w:ilvl w:val="0"/>
                <w:numId w:val="1"/>
              </w:numPr>
              <w:spacing w:line="440" w:lineRule="exact"/>
              <w:rPr>
                <w:rFonts w:hint="eastAsia" w:ascii="宋体" w:hAnsi="宋体" w:eastAsia="宋体" w:cs="宋体"/>
                <w:b w:val="0"/>
                <w:bCs/>
                <w:sz w:val="24"/>
                <w:szCs w:val="24"/>
                <w:lang w:eastAsia="zh-CN"/>
              </w:rPr>
            </w:pPr>
            <w:r>
              <w:rPr>
                <w:rFonts w:hint="eastAsia" w:ascii="宋体" w:hAnsi="宋体" w:eastAsia="宋体" w:cs="宋体"/>
                <w:b w:val="0"/>
                <w:bCs/>
                <w:sz w:val="24"/>
                <w:szCs w:val="24"/>
                <w:lang w:eastAsia="zh-CN"/>
              </w:rPr>
              <w:t>信息集成平台系统；</w:t>
            </w:r>
          </w:p>
        </w:tc>
        <w:tc>
          <w:tcPr>
            <w:tcW w:w="636" w:type="pct"/>
            <w:noWrap w:val="0"/>
            <w:vAlign w:val="center"/>
          </w:tcPr>
          <w:p>
            <w:pPr>
              <w:spacing w:line="440" w:lineRule="exact"/>
              <w:ind w:firstLine="240" w:firstLineChars="100"/>
              <w:rPr>
                <w:rFonts w:hint="eastAsia" w:ascii="宋体" w:hAnsi="宋体" w:eastAsia="宋体" w:cs="宋体"/>
                <w:b w:val="0"/>
                <w:bCs/>
                <w:sz w:val="24"/>
                <w:szCs w:val="24"/>
                <w:lang w:val="en-US" w:eastAsia="zh-CN"/>
              </w:rPr>
            </w:pPr>
          </w:p>
        </w:tc>
      </w:tr>
    </w:tbl>
    <w:p>
      <w:pPr>
        <w:spacing w:line="360" w:lineRule="auto"/>
        <w:rPr>
          <w:rFonts w:hint="eastAsia" w:ascii="宋体" w:hAnsi="宋体" w:eastAsia="宋体" w:cs="宋体"/>
          <w:b w:val="0"/>
          <w:bCs/>
          <w:kern w:val="0"/>
          <w:sz w:val="24"/>
          <w:szCs w:val="24"/>
        </w:rPr>
      </w:pPr>
      <w:r>
        <w:rPr>
          <w:rFonts w:hint="eastAsia" w:ascii="宋体" w:hAnsi="宋体" w:eastAsia="宋体" w:cs="宋体"/>
          <w:b w:val="0"/>
          <w:bCs/>
          <w:kern w:val="0"/>
          <w:sz w:val="24"/>
          <w:szCs w:val="24"/>
        </w:rPr>
        <w:t>三、技术要求</w:t>
      </w:r>
    </w:p>
    <w:p>
      <w:pPr>
        <w:pStyle w:val="6"/>
        <w:numPr>
          <w:ilvl w:val="0"/>
          <w:numId w:val="2"/>
        </w:numPr>
        <w:spacing w:line="440" w:lineRule="exact"/>
        <w:outlineLvl w:val="0"/>
        <w:rPr>
          <w:rFonts w:hint="eastAsia" w:ascii="宋体" w:hAnsi="宋体" w:eastAsia="宋体" w:cs="宋体"/>
          <w:b w:val="0"/>
          <w:bCs/>
          <w:sz w:val="24"/>
          <w:szCs w:val="24"/>
        </w:rPr>
      </w:pPr>
      <w:r>
        <w:rPr>
          <w:rFonts w:hint="eastAsia" w:ascii="宋体" w:hAnsi="宋体" w:eastAsia="宋体" w:cs="宋体"/>
          <w:b w:val="0"/>
          <w:bCs/>
          <w:sz w:val="24"/>
          <w:szCs w:val="24"/>
        </w:rPr>
        <w:t>总体要求</w:t>
      </w:r>
    </w:p>
    <w:p>
      <w:pPr>
        <w:spacing w:line="440" w:lineRule="exact"/>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根据《信息系统安全等级保护定级指南》和国家网络安全等级保护2.0相关标准，投标方对湖州市</w:t>
      </w:r>
      <w:r>
        <w:rPr>
          <w:rFonts w:hint="eastAsia" w:ascii="宋体" w:hAnsi="宋体" w:eastAsia="宋体" w:cs="宋体"/>
          <w:b w:val="0"/>
          <w:bCs/>
          <w:sz w:val="24"/>
          <w:szCs w:val="24"/>
          <w:lang w:val="en-US" w:eastAsia="zh-CN"/>
        </w:rPr>
        <w:t>第三人民医院</w:t>
      </w:r>
      <w:r>
        <w:rPr>
          <w:rFonts w:hint="eastAsia" w:ascii="宋体" w:hAnsi="宋体" w:eastAsia="宋体" w:cs="宋体"/>
          <w:b w:val="0"/>
          <w:bCs/>
          <w:sz w:val="24"/>
          <w:szCs w:val="24"/>
        </w:rPr>
        <w:t>信息系统开展等级保护测评的内容包括但不限于以下内容：</w:t>
      </w:r>
    </w:p>
    <w:p>
      <w:pPr>
        <w:spacing w:line="440" w:lineRule="exact"/>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从业务信息安全性和系统服务保障安全要求两个方面分析信息系统的业务和服务安全保护级别，确定信息系统的安全等级。通过对被测系统的详细了解，至少应包含信息系统调查、定级对象分析、定级要素分析等，确保信息系统定级备案的合理性，最后完成属地管理原则，分别向信息安全主管部门完成备案。</w:t>
      </w:r>
    </w:p>
    <w:p>
      <w:pPr>
        <w:pStyle w:val="6"/>
        <w:numPr>
          <w:ilvl w:val="0"/>
          <w:numId w:val="2"/>
        </w:numPr>
        <w:spacing w:line="440" w:lineRule="exact"/>
        <w:outlineLvl w:val="0"/>
        <w:rPr>
          <w:rFonts w:hint="eastAsia" w:ascii="宋体" w:hAnsi="宋体" w:eastAsia="宋体" w:cs="宋体"/>
          <w:b w:val="0"/>
          <w:bCs/>
          <w:sz w:val="24"/>
          <w:szCs w:val="24"/>
        </w:rPr>
      </w:pPr>
      <w:r>
        <w:rPr>
          <w:rFonts w:hint="eastAsia" w:ascii="宋体" w:hAnsi="宋体" w:eastAsia="宋体" w:cs="宋体"/>
          <w:b w:val="0"/>
          <w:bCs/>
          <w:sz w:val="24"/>
          <w:szCs w:val="24"/>
        </w:rPr>
        <w:t>测评依据</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投标供应商应依据国家等级保护相关标准开展工作，依据标准（包括但不限于）如下国家标准：</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1. 《信息安全技术 网络安全等级保护测评要求》（GB/T28448-2019）;</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2. 《信息安全技术 网络安全等级保护测评过程指南》（GB/T28449-2018）;</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3. 《信息安全技术 信息系统安全等级保护定级指南》（GB/T22240-2008）;</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4. 《信息安全技术 网络安全等级保护测试评估技术指南》（GB/T36627-2018）。</w:t>
      </w:r>
    </w:p>
    <w:p>
      <w:pPr>
        <w:spacing w:line="360" w:lineRule="auto"/>
        <w:rPr>
          <w:rFonts w:hint="eastAsia" w:ascii="宋体" w:hAnsi="宋体" w:eastAsia="宋体" w:cs="宋体"/>
          <w:b w:val="0"/>
          <w:bCs/>
          <w:color w:val="000000" w:themeColor="text1"/>
          <w:sz w:val="24"/>
          <w:szCs w:val="24"/>
          <w14:textFill>
            <w14:solidFill>
              <w14:schemeClr w14:val="tx1"/>
            </w14:solidFill>
          </w14:textFill>
        </w:rPr>
      </w:pPr>
      <w:r>
        <w:rPr>
          <w:rFonts w:hint="eastAsia" w:ascii="宋体" w:hAnsi="宋体" w:eastAsia="宋体" w:cs="宋体"/>
          <w:b w:val="0"/>
          <w:bCs/>
          <w:color w:val="000000" w:themeColor="text1"/>
          <w:sz w:val="24"/>
          <w:szCs w:val="24"/>
          <w:lang w:eastAsia="zh-CN"/>
          <w14:textFill>
            <w14:solidFill>
              <w14:schemeClr w14:val="tx1"/>
            </w14:solidFill>
          </w14:textFill>
        </w:rPr>
        <w:t>（</w:t>
      </w:r>
      <w:r>
        <w:rPr>
          <w:rFonts w:hint="eastAsia" w:ascii="宋体" w:hAnsi="宋体" w:eastAsia="宋体" w:cs="宋体"/>
          <w:b w:val="0"/>
          <w:bCs/>
          <w:color w:val="000000" w:themeColor="text1"/>
          <w:sz w:val="24"/>
          <w:szCs w:val="24"/>
          <w:lang w:val="en-US" w:eastAsia="zh-CN"/>
          <w14:textFill>
            <w14:solidFill>
              <w14:schemeClr w14:val="tx1"/>
            </w14:solidFill>
          </w14:textFill>
        </w:rPr>
        <w:t>三</w:t>
      </w:r>
      <w:r>
        <w:rPr>
          <w:rFonts w:hint="eastAsia" w:ascii="宋体" w:hAnsi="宋体" w:eastAsia="宋体" w:cs="宋体"/>
          <w:b w:val="0"/>
          <w:bCs/>
          <w:color w:val="000000" w:themeColor="text1"/>
          <w:sz w:val="24"/>
          <w:szCs w:val="24"/>
          <w:lang w:eastAsia="zh-CN"/>
          <w14:textFill>
            <w14:solidFill>
              <w14:schemeClr w14:val="tx1"/>
            </w14:solidFill>
          </w14:textFill>
        </w:rPr>
        <w:t>）</w:t>
      </w:r>
      <w:r>
        <w:rPr>
          <w:rFonts w:hint="eastAsia" w:ascii="宋体" w:hAnsi="宋体" w:eastAsia="宋体" w:cs="宋体"/>
          <w:b w:val="0"/>
          <w:bCs/>
          <w:color w:val="000000" w:themeColor="text1"/>
          <w:sz w:val="24"/>
          <w:szCs w:val="24"/>
          <w14:textFill>
            <w14:solidFill>
              <w14:schemeClr w14:val="tx1"/>
            </w14:solidFill>
          </w14:textFill>
        </w:rPr>
        <w:t>测评</w:t>
      </w:r>
      <w:r>
        <w:rPr>
          <w:rFonts w:hint="eastAsia" w:ascii="宋体" w:hAnsi="宋体" w:eastAsia="宋体" w:cs="宋体"/>
          <w:b w:val="0"/>
          <w:bCs/>
          <w:color w:val="000000" w:themeColor="text1"/>
          <w:sz w:val="24"/>
          <w:szCs w:val="24"/>
          <w:lang w:val="en-US" w:eastAsia="zh-CN"/>
          <w14:textFill>
            <w14:solidFill>
              <w14:schemeClr w14:val="tx1"/>
            </w14:solidFill>
          </w14:textFill>
        </w:rPr>
        <w:t>服务</w:t>
      </w:r>
      <w:r>
        <w:rPr>
          <w:rFonts w:hint="eastAsia" w:ascii="宋体" w:hAnsi="宋体" w:eastAsia="宋体" w:cs="宋体"/>
          <w:b w:val="0"/>
          <w:bCs/>
          <w:color w:val="000000" w:themeColor="text1"/>
          <w:sz w:val="24"/>
          <w:szCs w:val="24"/>
          <w14:textFill>
            <w14:solidFill>
              <w14:schemeClr w14:val="tx1"/>
            </w14:solidFill>
          </w14:textFill>
        </w:rPr>
        <w:t>内容：</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根据国家等级保护相关标准，等级保护测评的内容（包括但不限于）以下内容：</w:t>
      </w:r>
    </w:p>
    <w:p>
      <w:pPr>
        <w:numPr>
          <w:ilvl w:val="0"/>
          <w:numId w:val="0"/>
        </w:num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1、</w:t>
      </w:r>
      <w:r>
        <w:rPr>
          <w:rFonts w:hint="eastAsia" w:ascii="宋体" w:hAnsi="宋体" w:eastAsia="宋体" w:cs="宋体"/>
          <w:b w:val="0"/>
          <w:bCs/>
          <w:sz w:val="24"/>
          <w:szCs w:val="24"/>
        </w:rPr>
        <w:t>基于《信息安全技术 网络安全等级保护基本要求》（GB/T22239-2019）的对应等级和应用场景（以下选择）的测评服务，并提交反映系统安全现状的系统安全保护等级测评报告。</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1）、安全通用要求（安全物理环境、安全通信网络、安全区域边界、安全计算环境、安全管理中心、安全管理制度、安全管理机构、安全管理人员、安全建设管理、安全运维管理）；</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2）、云计算安全扩展要求（安全物理环境、安全通信网络、安全区域边界、安全计算环境、安全建设管理、安全运维管理）；</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3）、移动互联网安全扩展要求（安全物理环境、安全区域边界、安全计算环境、安全建设管理）；</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4）、物联网安全扩展要求（安全物理环境、安全区域边界、安全运维管理）；</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5）、工业控制系统扩展要求（安全物理环境、安全通信网络、安全区域边界、安全计算环境、安全建设管理）；</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6）、大数据可参考安全控制要求（安全物理环境、安全通信网络、安全计算环境、安全建设管理）；</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7）、提供整改建议服务。</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2、测评应满足的原则：</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本次安全保护等级保护测评实施方案设计与具体实施应满足以下原则：</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1）、保密原则：对测评的过程数据和结果数据严格保密，未经授权不得泄露给任何单位和个人，不得利用此数据进行任何侵害采购人的行为，否则采购人有权追究投标供应商的责任。</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2）、标准性原则：测评方案的设计与实施应依据国家等级保护的相关标准进行。</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3）、规范性原则：投标供应商的工作中的过程和文档，具有很好的规范性，可以便于项目的跟踪和控制。</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4）、可控性原则：测评服务的进度要跟上进度表的安排，保证采购人对于测评工作的可控性。</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5）、整体性原则：测评的范围和内容应当整体全面，包括国家等级保护相关要求涉及的各个层面。</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6）、最小影响原则：测评工作应尽可能小的影响系统和网络，并在可控范围内；测评工作不能对现有信息系统的正常运行、业务的正常开展产生任何影响。</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3、安全测评报告</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1）、投标供应商应对采购人的信息系统进行等级保护测评，形成相应的报告。</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2）、投标供应商在测评后出具符合公安局要求的系统安全保护等级测评报告；</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3）、对上述系统不符合信息安全等级保护有关管理规范和技术标准的，投标供应商出具可行整改方案并协助采购人整改服务。</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4）、投标供应商协助采购人办理信息系统安全保护等级测评备案手续。</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（四）</w:t>
      </w:r>
      <w:r>
        <w:rPr>
          <w:rFonts w:hint="eastAsia" w:ascii="宋体" w:hAnsi="宋体" w:eastAsia="宋体" w:cs="宋体"/>
          <w:b w:val="0"/>
          <w:bCs/>
          <w:sz w:val="24"/>
          <w:szCs w:val="24"/>
        </w:rPr>
        <w:t>、本次等级保护测评的整体要求</w:t>
      </w:r>
    </w:p>
    <w:p>
      <w:pPr>
        <w:spacing w:line="360" w:lineRule="auto"/>
        <w:rPr>
          <w:rFonts w:hint="eastAsia" w:ascii="宋体" w:hAnsi="宋体" w:eastAsia="宋体" w:cs="宋体"/>
          <w:b w:val="0"/>
          <w:bCs/>
          <w:color w:val="000000" w:themeColor="text1"/>
          <w:sz w:val="24"/>
          <w:szCs w:val="24"/>
          <w14:textFill>
            <w14:solidFill>
              <w14:schemeClr w14:val="tx1"/>
            </w14:solidFill>
          </w14:textFill>
        </w:rPr>
      </w:pPr>
      <w:r>
        <w:rPr>
          <w:rFonts w:hint="eastAsia" w:ascii="宋体" w:hAnsi="宋体" w:eastAsia="宋体" w:cs="宋体"/>
          <w:b w:val="0"/>
          <w:bCs/>
          <w:sz w:val="24"/>
          <w:szCs w:val="24"/>
        </w:rPr>
        <w:t>1）、投标供应商应详细描述本次等级保护测评的</w:t>
      </w:r>
      <w:r>
        <w:rPr>
          <w:rFonts w:hint="eastAsia" w:ascii="宋体" w:hAnsi="宋体" w:eastAsia="宋体" w:cs="宋体"/>
          <w:b w:val="0"/>
          <w:bCs/>
          <w:color w:val="000000" w:themeColor="text1"/>
          <w:sz w:val="24"/>
          <w:szCs w:val="24"/>
          <w14:textFill>
            <w14:solidFill>
              <w14:schemeClr w14:val="tx1"/>
            </w14:solidFill>
          </w14:textFill>
        </w:rPr>
        <w:t>整体实施方案，包括项目概述、等保测评方案、项目实施方案、测试过程中需使用测试设备清单、时间安排、阶段性文档提交和验收标准等。</w:t>
      </w:r>
    </w:p>
    <w:p>
      <w:pPr>
        <w:spacing w:line="360" w:lineRule="auto"/>
        <w:rPr>
          <w:rFonts w:hint="eastAsia" w:ascii="宋体" w:hAnsi="宋体" w:eastAsia="宋体" w:cs="宋体"/>
          <w:b w:val="0"/>
          <w:bCs/>
          <w:color w:val="000000" w:themeColor="text1"/>
          <w:sz w:val="24"/>
          <w:szCs w:val="24"/>
          <w:lang w:val="en-US" w:eastAsia="zh-CN"/>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2）、投标供应商应详细描述测评人员的组成、资质及各自职责的划分。投标供应商应配置有经验的测评人员进行本次等级保护测评工作。本次项目实施骨干人员至少包含1名高级测评师（提供证书复印件）。承担本次项目的负责人同时具有：高级测评师证书、国家重要信息系统保护人员培训证书（CIIPT）、信息安全管理系统审计认证（DNV）、信息安全保障人员认证证书(CISAW)、渗透测试认证证书（NSCP)、国家级优秀科技成果完成者证书、商用密码应用安全性评估人员测评能力证书、CCRC数据合规官以确保项目的顺利实施。</w:t>
      </w:r>
      <w:r>
        <w:rPr>
          <w:rFonts w:hint="eastAsia" w:ascii="宋体" w:hAnsi="宋体" w:eastAsia="宋体" w:cs="宋体"/>
          <w:b w:val="0"/>
          <w:bCs/>
          <w:color w:val="000000" w:themeColor="text1"/>
          <w:sz w:val="24"/>
          <w:szCs w:val="24"/>
          <w:lang w:val="en-US" w:eastAsia="zh-CN"/>
          <w14:textFill>
            <w14:solidFill>
              <w14:schemeClr w14:val="tx1"/>
            </w14:solidFill>
          </w14:textFill>
        </w:rPr>
        <w:t>在投标时提供相应证明材料；</w:t>
      </w:r>
    </w:p>
    <w:p>
      <w:pPr>
        <w:spacing w:line="360" w:lineRule="auto"/>
        <w:rPr>
          <w:rFonts w:hint="eastAsia" w:ascii="宋体" w:hAnsi="宋体" w:eastAsia="宋体" w:cs="宋体"/>
          <w:b w:val="0"/>
          <w:bCs/>
          <w:color w:val="000000" w:themeColor="text1"/>
          <w:sz w:val="24"/>
          <w:szCs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3）、本次等级保护测评实施过程中所使用到的各种工具软件由投标供应商推荐，经采购人确认后由投标供应商提供并在测评中使用。在报价文件中应详细描述所使用的安全测评工具（软硬件型号、功能和性能描述）、使用的方式和时间、对环境和平台的要求以及使用可能对系统造成的风险等。</w:t>
      </w:r>
    </w:p>
    <w:p>
      <w:pPr>
        <w:spacing w:line="360" w:lineRule="auto"/>
        <w:rPr>
          <w:rFonts w:hint="eastAsia" w:ascii="宋体" w:hAnsi="宋体" w:eastAsia="宋体" w:cs="宋体"/>
          <w:b w:val="0"/>
          <w:bCs/>
          <w:color w:val="000000" w:themeColor="text1"/>
          <w:sz w:val="24"/>
          <w:szCs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4）、安全测评工具软件运行可能需要的硬件平台（如笔记本电脑、PC、工作站等）和操作系统软件等由投标供应商推荐，经采购人确认后由投标供应商提供并在测评中使用。</w:t>
      </w:r>
    </w:p>
    <w:p>
      <w:pPr>
        <w:spacing w:line="360" w:lineRule="auto"/>
        <w:rPr>
          <w:rFonts w:hint="eastAsia" w:ascii="宋体" w:hAnsi="宋体" w:eastAsia="宋体" w:cs="宋体"/>
          <w:b w:val="0"/>
          <w:bCs/>
          <w:color w:val="000000" w:themeColor="text1"/>
          <w:sz w:val="24"/>
          <w:szCs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5）、安全测评需要的运行环境（如场地、网络环境等）由采购人提供，投标供应商应详细描述需要的运行环境的具体要求。</w:t>
      </w:r>
    </w:p>
    <w:p>
      <w:pPr>
        <w:spacing w:line="360" w:lineRule="auto"/>
        <w:rPr>
          <w:rFonts w:hint="eastAsia" w:ascii="宋体" w:hAnsi="宋体" w:eastAsia="宋体" w:cs="宋体"/>
          <w:b w:val="0"/>
          <w:bCs/>
          <w:color w:val="000000" w:themeColor="text1"/>
          <w:sz w:val="24"/>
          <w:szCs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6）、本项目的目标是输出等级保护测评报告，并配合办理信息系统安全保护测评评备案手续，该项目将产生一定数量的文档。</w:t>
      </w:r>
    </w:p>
    <w:p>
      <w:pPr>
        <w:spacing w:line="360" w:lineRule="auto"/>
        <w:rPr>
          <w:rFonts w:hint="eastAsia" w:ascii="宋体" w:hAnsi="宋体" w:eastAsia="宋体" w:cs="宋体"/>
          <w:b w:val="0"/>
          <w:bCs/>
          <w:color w:val="000000" w:themeColor="text1"/>
          <w:sz w:val="24"/>
          <w:szCs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7）、投标供应商应对所有正式交付件的综合质量审查负责，指定各交付件的相关责任人，明确相关职责。</w:t>
      </w:r>
    </w:p>
    <w:p>
      <w:pPr>
        <w:spacing w:line="360" w:lineRule="auto"/>
        <w:rPr>
          <w:rFonts w:hint="eastAsia" w:ascii="宋体" w:hAnsi="宋体" w:eastAsia="宋体" w:cs="宋体"/>
          <w:b w:val="0"/>
          <w:bCs/>
          <w:color w:val="000000" w:themeColor="text1"/>
          <w:sz w:val="24"/>
          <w:szCs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8）、投标供应商应提交验收方案，供采购人参考。</w:t>
      </w:r>
    </w:p>
    <w:p>
      <w:pPr>
        <w:spacing w:line="360" w:lineRule="auto"/>
        <w:rPr>
          <w:rFonts w:hint="eastAsia" w:ascii="宋体" w:hAnsi="宋体" w:eastAsia="宋体" w:cs="宋体"/>
          <w:b w:val="0"/>
          <w:bCs/>
          <w:color w:val="000000" w:themeColor="text1"/>
          <w:sz w:val="24"/>
          <w:szCs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9）、采购人将依据本项目的要求，组织相关部门或单位的技术专家对投标供应商提交的项目成果进行验收。</w:t>
      </w:r>
    </w:p>
    <w:p>
      <w:pPr>
        <w:spacing w:line="360" w:lineRule="auto"/>
        <w:rPr>
          <w:rFonts w:hint="eastAsia" w:ascii="宋体" w:hAnsi="宋体" w:eastAsia="宋体" w:cs="宋体"/>
          <w:b w:val="0"/>
          <w:bCs/>
          <w:color w:val="000000" w:themeColor="text1"/>
          <w:sz w:val="24"/>
          <w:szCs w:val="24"/>
          <w14:textFill>
            <w14:solidFill>
              <w14:schemeClr w14:val="tx1"/>
            </w14:solidFill>
          </w14:textFill>
        </w:rPr>
      </w:pPr>
      <w:r>
        <w:rPr>
          <w:rFonts w:hint="eastAsia" w:ascii="宋体" w:hAnsi="宋体" w:eastAsia="宋体" w:cs="宋体"/>
          <w:b w:val="0"/>
          <w:bCs/>
          <w:color w:val="000000" w:themeColor="text1"/>
          <w:sz w:val="24"/>
          <w:szCs w:val="24"/>
          <w:lang w:eastAsia="zh-CN"/>
          <w14:textFill>
            <w14:solidFill>
              <w14:schemeClr w14:val="tx1"/>
            </w14:solidFill>
          </w14:textFill>
        </w:rPr>
        <w:t>（</w:t>
      </w:r>
      <w:r>
        <w:rPr>
          <w:rFonts w:hint="eastAsia" w:ascii="宋体" w:hAnsi="宋体" w:eastAsia="宋体" w:cs="宋体"/>
          <w:b w:val="0"/>
          <w:bCs/>
          <w:color w:val="000000" w:themeColor="text1"/>
          <w:sz w:val="24"/>
          <w:szCs w:val="24"/>
          <w:lang w:val="en-US" w:eastAsia="zh-CN"/>
          <w14:textFill>
            <w14:solidFill>
              <w14:schemeClr w14:val="tx1"/>
            </w14:solidFill>
          </w14:textFill>
        </w:rPr>
        <w:t>五</w:t>
      </w:r>
      <w:r>
        <w:rPr>
          <w:rFonts w:hint="eastAsia" w:ascii="宋体" w:hAnsi="宋体" w:eastAsia="宋体" w:cs="宋体"/>
          <w:b w:val="0"/>
          <w:bCs/>
          <w:color w:val="000000" w:themeColor="text1"/>
          <w:sz w:val="24"/>
          <w:szCs w:val="24"/>
          <w:lang w:eastAsia="zh-CN"/>
          <w14:textFill>
            <w14:solidFill>
              <w14:schemeClr w14:val="tx1"/>
            </w14:solidFill>
          </w14:textFill>
        </w:rPr>
        <w:t>）</w:t>
      </w:r>
      <w:r>
        <w:rPr>
          <w:rFonts w:hint="eastAsia" w:ascii="宋体" w:hAnsi="宋体" w:eastAsia="宋体" w:cs="宋体"/>
          <w:b w:val="0"/>
          <w:bCs/>
          <w:color w:val="000000" w:themeColor="text1"/>
          <w:sz w:val="24"/>
          <w:szCs w:val="24"/>
          <w14:textFill>
            <w14:solidFill>
              <w14:schemeClr w14:val="tx1"/>
            </w14:solidFill>
          </w14:textFill>
        </w:rPr>
        <w:t>、测评实施要求</w:t>
      </w:r>
    </w:p>
    <w:p>
      <w:pPr>
        <w:spacing w:line="360" w:lineRule="auto"/>
        <w:rPr>
          <w:rFonts w:hint="eastAsia" w:ascii="宋体" w:hAnsi="宋体" w:eastAsia="宋体" w:cs="宋体"/>
          <w:b w:val="0"/>
          <w:bCs/>
          <w:color w:val="000000" w:themeColor="text1"/>
          <w:sz w:val="24"/>
          <w:szCs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1）、投标供应商应满足采购人提出的标准性、规范性、可控性、整体性、最小影响性及保密性原则，做到守时、保质。</w:t>
      </w:r>
    </w:p>
    <w:p>
      <w:pPr>
        <w:spacing w:line="360" w:lineRule="auto"/>
        <w:rPr>
          <w:rFonts w:hint="eastAsia" w:ascii="宋体" w:hAnsi="宋体" w:eastAsia="宋体" w:cs="宋体"/>
          <w:b w:val="0"/>
          <w:bCs/>
          <w:color w:val="000000" w:themeColor="text1"/>
          <w:sz w:val="24"/>
          <w:szCs w:val="24"/>
          <w14:textFill>
            <w14:solidFill>
              <w14:schemeClr w14:val="tx1"/>
            </w14:solidFill>
          </w14:textFill>
        </w:rPr>
      </w:pPr>
      <w:r>
        <w:rPr>
          <w:rFonts w:hint="eastAsia" w:ascii="宋体" w:hAnsi="宋体" w:eastAsia="宋体" w:cs="宋体"/>
          <w:b w:val="0"/>
          <w:bCs/>
          <w:color w:val="000000" w:themeColor="text1"/>
          <w:sz w:val="24"/>
          <w:szCs w:val="24"/>
          <w14:textFill>
            <w14:solidFill>
              <w14:schemeClr w14:val="tx1"/>
            </w14:solidFill>
          </w14:textFill>
        </w:rPr>
        <w:t>2）、保密性要求：投标供应商必须和采购人签订保密协议和非侵害性协议，投标供应商必须要与参加此次测评项目的所有项目组成员签订保密协议和非侵害性协议，在合同签定时一并提供给采购人。</w:t>
      </w:r>
    </w:p>
    <w:p>
      <w:pPr>
        <w:spacing w:line="360" w:lineRule="auto"/>
        <w:rPr>
          <w:rFonts w:hint="eastAsia" w:ascii="宋体" w:hAnsi="宋体" w:eastAsia="宋体" w:cs="宋体"/>
          <w:b w:val="0"/>
          <w:bCs/>
          <w:sz w:val="24"/>
          <w:szCs w:val="24"/>
        </w:rPr>
      </w:pPr>
      <w:r>
        <w:rPr>
          <w:rFonts w:hint="eastAsia" w:ascii="宋体" w:hAnsi="宋体" w:eastAsia="宋体" w:cs="宋体"/>
          <w:b w:val="0"/>
          <w:bCs/>
          <w:color w:val="000000" w:themeColor="text1"/>
          <w:sz w:val="24"/>
          <w:szCs w:val="24"/>
          <w14:textFill>
            <w14:solidFill>
              <w14:schemeClr w14:val="tx1"/>
            </w14:solidFill>
          </w14:textFill>
        </w:rPr>
        <w:t>3）、等级保护测评的品质保证：投标供应商应承诺指派工作经验丰富、技术实力雄厚的安全顾问，结合技术领先、结论可靠的测评工具为客户作全面等级保护</w:t>
      </w:r>
      <w:r>
        <w:rPr>
          <w:rFonts w:hint="eastAsia" w:ascii="宋体" w:hAnsi="宋体" w:eastAsia="宋体" w:cs="宋体"/>
          <w:b w:val="0"/>
          <w:bCs/>
          <w:sz w:val="24"/>
          <w:szCs w:val="24"/>
        </w:rPr>
        <w:t>测评。承诺测评过程按照国家标准进行，并保证对客户的资料严格保密。</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（六）</w:t>
      </w:r>
      <w:r>
        <w:rPr>
          <w:rFonts w:hint="eastAsia" w:ascii="宋体" w:hAnsi="宋体" w:eastAsia="宋体" w:cs="宋体"/>
          <w:b w:val="0"/>
          <w:bCs/>
          <w:sz w:val="24"/>
          <w:szCs w:val="24"/>
        </w:rPr>
        <w:t>、其它要求</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1）、投标供应商在测评方案书中，对能提供的信息系统安全等级保护测评进行详细说明，可根据具体情况在项目方案中提出建议，并附详细资料和说明。</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2）、投标供应商应对提供测评服务时所使用的设备及软件保证拥有设备软硬件的知识产权和所有权，并对所涉及的专利、知识产权等法律条款承担义务，采购人以上问题不承担任何法律责任。</w:t>
      </w:r>
    </w:p>
    <w:p>
      <w:pPr>
        <w:spacing w:line="360" w:lineRule="auto"/>
        <w:ind w:left="240" w:hanging="240" w:hangingChars="1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3）、投标供应商提供：每周不少于2个工作日的现场网络安全技术服务；以及1年服务期内重大节日的现场信息安全保障和技术支持；不少于1次本地化整改规划方案优化；不少于2次网络安全技术培训</w:t>
      </w:r>
      <w:r>
        <w:rPr>
          <w:rFonts w:hint="eastAsia" w:ascii="宋体" w:hAnsi="宋体" w:eastAsia="宋体" w:cs="宋体"/>
          <w:b w:val="0"/>
          <w:bCs/>
          <w:kern w:val="0"/>
          <w:sz w:val="24"/>
          <w:szCs w:val="24"/>
        </w:rPr>
        <w:t>▲</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lang w:val="en-US" w:eastAsia="zh-CN"/>
        </w:rPr>
        <w:t>4</w:t>
      </w:r>
      <w:r>
        <w:rPr>
          <w:rFonts w:hint="eastAsia" w:ascii="宋体" w:hAnsi="宋体" w:eastAsia="宋体" w:cs="宋体"/>
          <w:b w:val="0"/>
          <w:bCs/>
          <w:sz w:val="24"/>
          <w:szCs w:val="24"/>
        </w:rPr>
        <w:t>）、项目成果</w:t>
      </w:r>
      <w:r>
        <w:rPr>
          <w:rFonts w:hint="eastAsia" w:ascii="宋体" w:hAnsi="宋体" w:eastAsia="宋体" w:cs="宋体"/>
          <w:b w:val="0"/>
          <w:bCs/>
          <w:kern w:val="0"/>
          <w:sz w:val="24"/>
          <w:szCs w:val="24"/>
        </w:rPr>
        <w:t>▲</w:t>
      </w:r>
    </w:p>
    <w:p>
      <w:pPr>
        <w:spacing w:line="360" w:lineRule="auto"/>
        <w:rPr>
          <w:rFonts w:hint="eastAsia" w:ascii="宋体" w:hAnsi="宋体" w:eastAsia="宋体" w:cs="宋体"/>
          <w:b w:val="0"/>
          <w:bCs/>
          <w:sz w:val="24"/>
          <w:szCs w:val="24"/>
        </w:rPr>
      </w:pPr>
      <w:r>
        <w:rPr>
          <w:rFonts w:hint="eastAsia" w:ascii="宋体" w:hAnsi="宋体" w:eastAsia="宋体" w:cs="宋体"/>
          <w:b w:val="0"/>
          <w:bCs/>
          <w:sz w:val="24"/>
          <w:szCs w:val="24"/>
        </w:rPr>
        <w:t>提交包括且不仅仅包括以下成果：《整改规划》、《等级保护测评报告》。</w:t>
      </w:r>
    </w:p>
    <w:p>
      <w:pPr>
        <w:rPr>
          <w:rFonts w:hint="eastAsia" w:ascii="宋体" w:hAnsi="宋体" w:eastAsia="宋体" w:cs="宋体"/>
          <w:b w:val="0"/>
          <w:bCs/>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宋体">
    <w:altName w:val="宋体"/>
    <w:panose1 w:val="00000000000000000000"/>
    <w:charset w:val="86"/>
    <w:family w:val="roman"/>
    <w:pitch w:val="default"/>
    <w:sig w:usb0="00000000" w:usb1="00000000" w:usb2="00000000" w:usb3="00000000" w:csb0="00040001" w:csb1="00000000"/>
  </w:font>
  <w:font w:name="华文仿宋">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FF3BCC"/>
    <w:multiLevelType w:val="singleLevel"/>
    <w:tmpl w:val="DFFF3BCC"/>
    <w:lvl w:ilvl="0" w:tentative="0">
      <w:start w:val="1"/>
      <w:numFmt w:val="decimal"/>
      <w:suff w:val="nothing"/>
      <w:lvlText w:val="%1、"/>
      <w:lvlJc w:val="left"/>
    </w:lvl>
  </w:abstractNum>
  <w:abstractNum w:abstractNumId="1">
    <w:nsid w:val="746F1DD8"/>
    <w:multiLevelType w:val="multilevel"/>
    <w:tmpl w:val="746F1DD8"/>
    <w:lvl w:ilvl="0" w:tentative="0">
      <w:start w:val="1"/>
      <w:numFmt w:val="chineseCountingThousand"/>
      <w:lvlText w:val="(%1)"/>
      <w:lvlJc w:val="left"/>
      <w:pPr>
        <w:ind w:left="420" w:hanging="420"/>
      </w:pPr>
    </w:lvl>
    <w:lvl w:ilvl="1" w:tentative="0">
      <w:start w:val="1"/>
      <w:numFmt w:val="decimal"/>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9B7BC00D"/>
    <w:rsid w:val="398D5206"/>
    <w:rsid w:val="412F06DF"/>
    <w:rsid w:val="67F6EEE9"/>
    <w:rsid w:val="9B7BC00D"/>
    <w:rsid w:val="E6DAAE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Indent"/>
    <w:basedOn w:val="1"/>
    <w:next w:val="1"/>
    <w:qFormat/>
    <w:uiPriority w:val="0"/>
    <w:pPr>
      <w:spacing w:line="200" w:lineRule="exact"/>
      <w:ind w:firstLine="301"/>
    </w:pPr>
    <w:rPr>
      <w:rFonts w:ascii="宋体" w:hAnsi="Courier New"/>
      <w:spacing w:val="-4"/>
      <w:sz w:val="18"/>
      <w:szCs w:val="20"/>
    </w:rPr>
  </w:style>
  <w:style w:type="paragraph" w:styleId="3">
    <w:name w:val="Body Text First Indent 2"/>
    <w:basedOn w:val="2"/>
    <w:qFormat/>
    <w:uiPriority w:val="0"/>
    <w:pPr>
      <w:spacing w:after="120" w:line="360" w:lineRule="auto"/>
      <w:ind w:left="420" w:firstLine="420"/>
      <w:jc w:val="left"/>
    </w:pPr>
    <w:rPr>
      <w:rFonts w:eastAsia="华文中宋;宋体"/>
      <w:sz w:val="21"/>
      <w:szCs w:val="24"/>
    </w:rPr>
  </w:style>
  <w:style w:type="paragraph" w:styleId="6">
    <w:name w:val="List Paragraph"/>
    <w:basedOn w:val="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5</TotalTime>
  <ScaleCrop>false</ScaleCrop>
  <LinksUpToDate>false</LinksUpToDate>
  <CharactersWithSpaces>0</CharactersWithSpaces>
  <Application>WPS Office_11.8.2.10154_F1E327BC-269C-435d-A152-05C5408002CA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2026-03-17T09:06:00Z</dcterms:created>
  <dc:creator>jackyang</dc:creator>
  <cp:lastModifiedBy>睿睿麻麻</cp:lastModifiedBy>
  <dcterms:modified xsi:type="dcterms:W3CDTF">2026-03-19T13:42:27Z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2052-11.8.2.10154</vt:lpwstr>
  </property>
  <property fmtid="{D5CDD505-2E9C-101B-9397-08002B2CF9AE}" pid="3" name="ICV">
    <vt:lpwstr>DC73C1D9726A7AD001A9B8697AC54217_41</vt:lpwstr>
  </property>
</Properties>
</file>