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3"/>
        <w:spacing w:line="288" w:lineRule="auto"/>
        <w:rPr>
          <w:rFonts w:hint="eastAsia" w:ascii="宋体" w:hAnsi="宋体" w:eastAsia="宋体" w:cs="宋体"/>
          <w:b/>
          <w:iCs w:val="0"/>
          <w:spacing w:val="0"/>
          <w:sz w:val="44"/>
          <w:szCs w:val="44"/>
        </w:rPr>
      </w:pPr>
      <w:r>
        <w:rPr>
          <w:rFonts w:hint="eastAsia" w:ascii="宋体" w:hAnsi="宋体" w:eastAsia="宋体" w:cs="宋体"/>
          <w:b/>
          <w:iCs w:val="0"/>
          <w:spacing w:val="0"/>
          <w:sz w:val="44"/>
          <w:szCs w:val="44"/>
          <w:lang w:val="en-US" w:eastAsia="zh-CN"/>
        </w:rPr>
        <w:t>信息机房整体</w:t>
      </w:r>
      <w:r>
        <w:rPr>
          <w:rFonts w:hint="eastAsia" w:ascii="宋体" w:hAnsi="宋体" w:eastAsia="宋体" w:cs="宋体"/>
          <w:b/>
          <w:iCs w:val="0"/>
          <w:spacing w:val="0"/>
          <w:sz w:val="44"/>
          <w:szCs w:val="44"/>
        </w:rPr>
        <w:t>运维服务项目需求</w:t>
      </w:r>
    </w:p>
    <w:p>
      <w:pPr>
        <w:pStyle w:val="3"/>
        <w:rPr>
          <w:rFonts w:hint="eastAsia" w:ascii="宋体" w:hAnsi="宋体" w:eastAsia="宋体" w:cs="宋体"/>
        </w:rPr>
      </w:pPr>
    </w:p>
    <w:p>
      <w:pPr>
        <w:rPr>
          <w:rFonts w:hint="eastAsia" w:ascii="宋体" w:hAnsi="宋体" w:eastAsia="宋体" w:cs="宋体"/>
        </w:rPr>
      </w:pPr>
    </w:p>
    <w:p>
      <w:pPr>
        <w:pStyle w:val="3"/>
        <w:rPr>
          <w:rStyle w:val="35"/>
          <w:rFonts w:hint="eastAsia" w:ascii="宋体" w:hAnsi="宋体" w:eastAsia="宋体" w:cs="宋体"/>
          <w:b/>
        </w:rPr>
      </w:pPr>
      <w:r>
        <w:rPr>
          <w:rStyle w:val="35"/>
          <w:rFonts w:hint="eastAsia" w:ascii="宋体" w:hAnsi="宋体" w:eastAsia="宋体" w:cs="宋体"/>
          <w:b/>
          <w:lang w:val="en-US" w:eastAsia="zh-CN"/>
        </w:rPr>
        <w:t>1</w:t>
      </w:r>
      <w:r>
        <w:rPr>
          <w:rStyle w:val="35"/>
          <w:rFonts w:hint="eastAsia" w:ascii="宋体" w:hAnsi="宋体" w:eastAsia="宋体" w:cs="宋体"/>
          <w:b/>
        </w:rPr>
        <w:t>、</w:t>
      </w:r>
      <w:r>
        <w:rPr>
          <w:rStyle w:val="35"/>
          <w:rFonts w:hint="eastAsia" w:ascii="宋体" w:hAnsi="宋体" w:eastAsia="宋体" w:cs="宋体"/>
          <w:b/>
          <w:lang w:val="en-US" w:eastAsia="zh-CN"/>
        </w:rPr>
        <w:t>运维服务及产品</w:t>
      </w:r>
      <w:r>
        <w:rPr>
          <w:rStyle w:val="35"/>
          <w:rFonts w:hint="eastAsia" w:ascii="宋体" w:hAnsi="宋体" w:eastAsia="宋体" w:cs="宋体"/>
          <w:b/>
        </w:rPr>
        <w:t>清单</w:t>
      </w:r>
    </w:p>
    <w:tbl>
      <w:tblPr>
        <w:tblStyle w:val="29"/>
        <w:tblW w:w="5295" w:type="pct"/>
        <w:tblInd w:w="0" w:type="dxa"/>
        <w:tblLayout w:type="autofit"/>
        <w:tblCellMar>
          <w:top w:w="0" w:type="dxa"/>
          <w:left w:w="108" w:type="dxa"/>
          <w:bottom w:w="0" w:type="dxa"/>
          <w:right w:w="108" w:type="dxa"/>
        </w:tblCellMar>
      </w:tblPr>
      <w:tblGrid>
        <w:gridCol w:w="520"/>
        <w:gridCol w:w="1176"/>
        <w:gridCol w:w="6919"/>
        <w:gridCol w:w="725"/>
        <w:gridCol w:w="729"/>
      </w:tblGrid>
      <w:tr>
        <w:tblPrEx>
          <w:tblCellMar>
            <w:top w:w="0" w:type="dxa"/>
            <w:left w:w="108" w:type="dxa"/>
            <w:bottom w:w="0" w:type="dxa"/>
            <w:right w:w="108" w:type="dxa"/>
          </w:tblCellMar>
        </w:tblPrEx>
        <w:trPr>
          <w:trHeight w:val="264" w:hRule="atLeast"/>
        </w:trPr>
        <w:tc>
          <w:tcPr>
            <w:tcW w:w="258" w:type="pct"/>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bCs/>
                <w:color w:val="000000"/>
                <w:kern w:val="0"/>
              </w:rPr>
            </w:pPr>
            <w:r>
              <w:rPr>
                <w:rFonts w:hint="eastAsia" w:ascii="宋体" w:hAnsi="宋体" w:eastAsia="宋体" w:cs="宋体"/>
                <w:b/>
                <w:bCs/>
                <w:color w:val="000000"/>
                <w:kern w:val="0"/>
              </w:rPr>
              <w:t>序号</w:t>
            </w:r>
          </w:p>
        </w:tc>
        <w:tc>
          <w:tcPr>
            <w:tcW w:w="584" w:type="pct"/>
            <w:tcBorders>
              <w:top w:val="single" w:color="auto" w:sz="4" w:space="0"/>
              <w:left w:val="nil"/>
              <w:bottom w:val="single" w:color="auto" w:sz="4" w:space="0"/>
              <w:right w:val="single" w:color="auto" w:sz="4" w:space="0"/>
            </w:tcBorders>
            <w:shd w:val="clear" w:color="auto" w:fill="auto"/>
            <w:vAlign w:val="center"/>
          </w:tcPr>
          <w:p>
            <w:pPr>
              <w:jc w:val="center"/>
              <w:rPr>
                <w:rFonts w:hint="eastAsia" w:ascii="宋体" w:hAnsi="宋体" w:eastAsia="宋体" w:cs="宋体"/>
                <w:b/>
                <w:bCs/>
                <w:color w:val="000000"/>
                <w:kern w:val="0"/>
              </w:rPr>
            </w:pPr>
            <w:r>
              <w:rPr>
                <w:rFonts w:hint="eastAsia" w:ascii="宋体" w:hAnsi="宋体" w:eastAsia="宋体" w:cs="宋体"/>
                <w:b/>
                <w:bCs/>
                <w:color w:val="000000"/>
                <w:kern w:val="0"/>
              </w:rPr>
              <w:t>服务名称</w:t>
            </w:r>
          </w:p>
        </w:tc>
        <w:tc>
          <w:tcPr>
            <w:tcW w:w="3435" w:type="pct"/>
            <w:tcBorders>
              <w:top w:val="single" w:color="auto" w:sz="4" w:space="0"/>
              <w:left w:val="nil"/>
              <w:bottom w:val="single" w:color="auto" w:sz="4" w:space="0"/>
              <w:right w:val="single" w:color="auto" w:sz="4" w:space="0"/>
            </w:tcBorders>
            <w:shd w:val="clear" w:color="auto" w:fill="auto"/>
            <w:vAlign w:val="center"/>
          </w:tcPr>
          <w:p>
            <w:pPr>
              <w:jc w:val="center"/>
              <w:rPr>
                <w:rFonts w:hint="eastAsia" w:ascii="宋体" w:hAnsi="宋体" w:eastAsia="宋体" w:cs="宋体"/>
                <w:b/>
                <w:bCs/>
                <w:color w:val="000000"/>
                <w:kern w:val="0"/>
              </w:rPr>
            </w:pPr>
            <w:r>
              <w:rPr>
                <w:rFonts w:hint="eastAsia" w:ascii="宋体" w:hAnsi="宋体" w:eastAsia="宋体" w:cs="宋体"/>
                <w:b/>
                <w:bCs/>
                <w:color w:val="000000"/>
                <w:kern w:val="0"/>
              </w:rPr>
              <w:t>服务内容参数</w:t>
            </w:r>
          </w:p>
        </w:tc>
        <w:tc>
          <w:tcPr>
            <w:tcW w:w="360" w:type="pct"/>
            <w:tcBorders>
              <w:top w:val="single" w:color="auto" w:sz="4" w:space="0"/>
              <w:left w:val="nil"/>
              <w:bottom w:val="single" w:color="auto" w:sz="4" w:space="0"/>
              <w:right w:val="single" w:color="auto" w:sz="4" w:space="0"/>
            </w:tcBorders>
            <w:shd w:val="clear" w:color="auto" w:fill="auto"/>
            <w:vAlign w:val="center"/>
          </w:tcPr>
          <w:p>
            <w:pPr>
              <w:jc w:val="center"/>
              <w:rPr>
                <w:rFonts w:hint="eastAsia" w:ascii="宋体" w:hAnsi="宋体" w:eastAsia="宋体" w:cs="宋体"/>
                <w:b/>
                <w:bCs/>
                <w:color w:val="000000"/>
                <w:kern w:val="0"/>
              </w:rPr>
            </w:pPr>
            <w:r>
              <w:rPr>
                <w:rFonts w:hint="eastAsia" w:ascii="宋体" w:hAnsi="宋体" w:eastAsia="宋体" w:cs="宋体"/>
                <w:b/>
                <w:bCs/>
                <w:color w:val="000000"/>
                <w:kern w:val="0"/>
              </w:rPr>
              <w:t>单位</w:t>
            </w:r>
          </w:p>
        </w:tc>
        <w:tc>
          <w:tcPr>
            <w:tcW w:w="362" w:type="pct"/>
            <w:tcBorders>
              <w:top w:val="single" w:color="auto" w:sz="4" w:space="0"/>
              <w:left w:val="nil"/>
              <w:bottom w:val="single" w:color="auto" w:sz="4" w:space="0"/>
              <w:right w:val="single" w:color="auto" w:sz="4" w:space="0"/>
            </w:tcBorders>
            <w:shd w:val="clear" w:color="auto" w:fill="auto"/>
            <w:vAlign w:val="center"/>
          </w:tcPr>
          <w:p>
            <w:pPr>
              <w:jc w:val="center"/>
              <w:rPr>
                <w:rFonts w:hint="eastAsia" w:ascii="宋体" w:hAnsi="宋体" w:eastAsia="宋体" w:cs="宋体"/>
                <w:b/>
                <w:bCs/>
                <w:color w:val="000000"/>
                <w:kern w:val="0"/>
              </w:rPr>
            </w:pPr>
            <w:r>
              <w:rPr>
                <w:rFonts w:hint="eastAsia" w:ascii="宋体" w:hAnsi="宋体" w:eastAsia="宋体" w:cs="宋体"/>
                <w:b/>
                <w:bCs/>
                <w:color w:val="000000"/>
                <w:kern w:val="0"/>
              </w:rPr>
              <w:t>数量</w:t>
            </w:r>
          </w:p>
        </w:tc>
      </w:tr>
      <w:tr>
        <w:tblPrEx>
          <w:tblCellMar>
            <w:top w:w="0" w:type="dxa"/>
            <w:left w:w="108" w:type="dxa"/>
            <w:bottom w:w="0" w:type="dxa"/>
            <w:right w:w="108" w:type="dxa"/>
          </w:tblCellMar>
        </w:tblPrEx>
        <w:trPr>
          <w:trHeight w:val="1320" w:hRule="atLeast"/>
        </w:trPr>
        <w:tc>
          <w:tcPr>
            <w:tcW w:w="258" w:type="pct"/>
            <w:tcBorders>
              <w:top w:val="nil"/>
              <w:left w:val="single" w:color="auto" w:sz="4" w:space="0"/>
              <w:bottom w:val="single" w:color="auto" w:sz="4" w:space="0"/>
              <w:right w:val="single" w:color="auto" w:sz="4" w:space="0"/>
            </w:tcBorders>
            <w:shd w:val="clear" w:color="auto" w:fill="auto"/>
            <w:noWrap/>
            <w:vAlign w:val="center"/>
          </w:tcPr>
          <w:p>
            <w:pPr>
              <w:jc w:val="center"/>
              <w:rPr>
                <w:rFonts w:hint="eastAsia" w:ascii="宋体" w:hAnsi="宋体" w:eastAsia="宋体" w:cs="宋体"/>
                <w:color w:val="000000"/>
                <w:kern w:val="0"/>
              </w:rPr>
            </w:pPr>
            <w:r>
              <w:rPr>
                <w:rFonts w:hint="eastAsia" w:ascii="宋体" w:hAnsi="宋体" w:eastAsia="宋体" w:cs="宋体"/>
                <w:color w:val="000000"/>
                <w:kern w:val="0"/>
              </w:rPr>
              <w:t>1</w:t>
            </w:r>
          </w:p>
        </w:tc>
        <w:tc>
          <w:tcPr>
            <w:tcW w:w="584" w:type="pct"/>
            <w:tcBorders>
              <w:top w:val="nil"/>
              <w:left w:val="nil"/>
              <w:bottom w:val="single" w:color="auto" w:sz="4" w:space="0"/>
              <w:right w:val="single" w:color="auto" w:sz="4" w:space="0"/>
            </w:tcBorders>
            <w:shd w:val="clear" w:color="auto" w:fill="auto"/>
            <w:vAlign w:val="center"/>
          </w:tcPr>
          <w:p>
            <w:pPr>
              <w:jc w:val="center"/>
              <w:rPr>
                <w:rFonts w:hint="eastAsia" w:ascii="宋体" w:hAnsi="宋体" w:eastAsia="宋体" w:cs="宋体"/>
                <w:color w:val="000000"/>
                <w:kern w:val="0"/>
              </w:rPr>
            </w:pPr>
            <w:r>
              <w:rPr>
                <w:rFonts w:hint="eastAsia" w:ascii="宋体" w:hAnsi="宋体" w:cs="宋体"/>
                <w:color w:val="000000"/>
                <w:kern w:val="0"/>
                <w:lang w:eastAsia="zh-CN"/>
              </w:rPr>
              <w:t>信息机房</w:t>
            </w:r>
            <w:bookmarkStart w:id="44" w:name="_GoBack"/>
            <w:bookmarkEnd w:id="44"/>
            <w:r>
              <w:rPr>
                <w:rFonts w:hint="eastAsia" w:ascii="宋体" w:hAnsi="宋体" w:eastAsia="宋体" w:cs="宋体"/>
                <w:color w:val="000000"/>
                <w:kern w:val="0"/>
              </w:rPr>
              <w:t>IT设备维保及运维服务</w:t>
            </w:r>
          </w:p>
        </w:tc>
        <w:tc>
          <w:tcPr>
            <w:tcW w:w="3435" w:type="pct"/>
            <w:tcBorders>
              <w:top w:val="nil"/>
              <w:left w:val="nil"/>
              <w:bottom w:val="single" w:color="auto" w:sz="4" w:space="0"/>
              <w:right w:val="single" w:color="auto" w:sz="4" w:space="0"/>
            </w:tcBorders>
            <w:shd w:val="clear" w:color="auto" w:fill="auto"/>
            <w:vAlign w:val="center"/>
          </w:tcPr>
          <w:p>
            <w:pPr>
              <w:pStyle w:val="51"/>
              <w:numPr>
                <w:ilvl w:val="0"/>
                <w:numId w:val="1"/>
              </w:numPr>
              <w:ind w:firstLineChars="0"/>
              <w:jc w:val="left"/>
              <w:rPr>
                <w:rFonts w:hint="eastAsia" w:ascii="宋体" w:hAnsi="宋体" w:eastAsia="宋体" w:cs="宋体"/>
                <w:color w:val="000000"/>
                <w:kern w:val="0"/>
              </w:rPr>
            </w:pPr>
            <w:r>
              <w:rPr>
                <w:rFonts w:hint="eastAsia" w:ascii="宋体" w:hAnsi="宋体" w:eastAsia="宋体" w:cs="宋体"/>
                <w:color w:val="000000"/>
                <w:kern w:val="0"/>
              </w:rPr>
              <w:t>对医院数据中心过保服务器、存储及网络，交换机、无线查房网络AP、虚拟化、超融合等软硬件提供1年设备质保服务（对要求原厂维保设备，</w:t>
            </w:r>
            <w:r>
              <w:rPr>
                <w:rFonts w:hint="eastAsia" w:ascii="宋体" w:hAnsi="宋体" w:eastAsia="宋体" w:cs="宋体"/>
                <w:color w:val="000000"/>
                <w:kern w:val="0"/>
                <w:lang w:eastAsia="zh-CN"/>
              </w:rPr>
              <w:t>服务商</w:t>
            </w:r>
            <w:r>
              <w:rPr>
                <w:rFonts w:hint="eastAsia" w:ascii="宋体" w:hAnsi="宋体" w:eastAsia="宋体" w:cs="宋体"/>
                <w:color w:val="000000"/>
                <w:kern w:val="0"/>
              </w:rPr>
              <w:t>应及时协调设备原厂商予以维修，并监督维修时效和质量；对</w:t>
            </w:r>
            <w:r>
              <w:rPr>
                <w:rFonts w:hint="eastAsia" w:ascii="宋体" w:hAnsi="宋体" w:eastAsia="宋体" w:cs="宋体"/>
                <w:color w:val="000000"/>
                <w:kern w:val="0"/>
                <w:lang w:val="en-US" w:eastAsia="zh-CN"/>
              </w:rPr>
              <w:t>第</w:t>
            </w:r>
            <w:r>
              <w:rPr>
                <w:rFonts w:hint="eastAsia" w:ascii="宋体" w:hAnsi="宋体" w:eastAsia="宋体" w:cs="宋体"/>
                <w:color w:val="000000"/>
                <w:kern w:val="0"/>
              </w:rPr>
              <w:t>三方维保设备，应设置备件库，如需更换配件，应严格按照响应时间要求提供相关配件，所需配件购置费用由</w:t>
            </w:r>
            <w:r>
              <w:rPr>
                <w:rFonts w:hint="eastAsia" w:ascii="宋体" w:hAnsi="宋体" w:eastAsia="宋体" w:cs="宋体"/>
                <w:color w:val="000000"/>
                <w:kern w:val="0"/>
                <w:lang w:eastAsia="zh-CN"/>
              </w:rPr>
              <w:t>服务商</w:t>
            </w:r>
            <w:r>
              <w:rPr>
                <w:rFonts w:hint="eastAsia" w:ascii="宋体" w:hAnsi="宋体" w:eastAsia="宋体" w:cs="宋体"/>
                <w:color w:val="000000"/>
                <w:kern w:val="0"/>
              </w:rPr>
              <w:t>承担）；提供日常维护巡检、故障响应处理、技术支持等服务；</w:t>
            </w:r>
          </w:p>
          <w:p>
            <w:pPr>
              <w:pStyle w:val="51"/>
              <w:numPr>
                <w:ilvl w:val="0"/>
                <w:numId w:val="1"/>
              </w:numPr>
              <w:ind w:firstLineChars="0"/>
              <w:jc w:val="left"/>
              <w:rPr>
                <w:rFonts w:hint="eastAsia" w:ascii="宋体" w:hAnsi="宋体" w:eastAsia="宋体" w:cs="宋体"/>
                <w:color w:val="000000"/>
                <w:kern w:val="0"/>
              </w:rPr>
            </w:pPr>
            <w:r>
              <w:rPr>
                <w:rFonts w:hint="eastAsia" w:ascii="宋体" w:hAnsi="宋体" w:eastAsia="宋体" w:cs="宋体"/>
                <w:color w:val="000000"/>
                <w:kern w:val="0"/>
              </w:rPr>
              <w:t>对医院HIS、EMRS、PACS、MEDDOC、CDR等核心数据库及虚拟化系统提供1年运维</w:t>
            </w:r>
            <w:r>
              <w:rPr>
                <w:rFonts w:hint="eastAsia" w:ascii="宋体" w:hAnsi="宋体" w:eastAsia="宋体" w:cs="宋体"/>
                <w:color w:val="000000"/>
                <w:kern w:val="0"/>
                <w:lang w:val="en-US" w:eastAsia="zh-CN"/>
              </w:rPr>
              <w:t>技术支持</w:t>
            </w:r>
            <w:r>
              <w:rPr>
                <w:rFonts w:hint="eastAsia" w:ascii="宋体" w:hAnsi="宋体" w:eastAsia="宋体" w:cs="宋体"/>
                <w:color w:val="000000"/>
                <w:kern w:val="0"/>
              </w:rPr>
              <w:t>服务。</w:t>
            </w:r>
          </w:p>
          <w:p>
            <w:pPr>
              <w:pStyle w:val="51"/>
              <w:widowControl w:val="0"/>
              <w:numPr>
                <w:ilvl w:val="0"/>
                <w:numId w:val="1"/>
              </w:numPr>
              <w:autoSpaceDE w:val="0"/>
              <w:autoSpaceDN w:val="0"/>
              <w:snapToGrid w:val="0"/>
              <w:ind w:firstLineChars="0"/>
              <w:rPr>
                <w:rFonts w:hint="eastAsia" w:ascii="宋体" w:hAnsi="宋体" w:eastAsia="宋体" w:cs="宋体"/>
                <w:color w:val="000000"/>
                <w:kern w:val="0"/>
              </w:rPr>
            </w:pPr>
            <w:r>
              <w:rPr>
                <w:rFonts w:hint="eastAsia" w:ascii="宋体" w:hAnsi="宋体" w:eastAsia="宋体" w:cs="宋体"/>
                <w:color w:val="000000"/>
                <w:kern w:val="0"/>
              </w:rPr>
              <w:t>负责新老</w:t>
            </w:r>
            <w:r>
              <w:rPr>
                <w:rFonts w:hint="eastAsia" w:ascii="宋体" w:hAnsi="宋体" w:eastAsia="宋体" w:cs="宋体"/>
                <w:color w:val="000000"/>
                <w:kern w:val="0"/>
                <w:lang w:val="en-US" w:eastAsia="zh-CN"/>
              </w:rPr>
              <w:t>数据中心</w:t>
            </w:r>
            <w:r>
              <w:rPr>
                <w:rFonts w:hint="eastAsia" w:ascii="宋体" w:hAnsi="宋体" w:eastAsia="宋体" w:cs="宋体"/>
                <w:color w:val="000000"/>
                <w:kern w:val="0"/>
              </w:rPr>
              <w:t>机房环境设备的日常管理和维护，承担故障诊断和处理、运行状态监控、系统配置管理等职责。供配电系统季维护属于部分检修性维护，应根据具体情况对相关设备停电后进行。包含机房供配电系统、UPS</w:t>
            </w:r>
            <w:r>
              <w:rPr>
                <w:rFonts w:hint="eastAsia" w:ascii="宋体" w:hAnsi="宋体" w:eastAsia="宋体" w:cs="宋体"/>
                <w:color w:val="000000"/>
                <w:kern w:val="0"/>
                <w:lang w:val="en-US" w:eastAsia="zh-CN"/>
              </w:rPr>
              <w:t>主机</w:t>
            </w:r>
            <w:r>
              <w:rPr>
                <w:rFonts w:hint="eastAsia" w:ascii="宋体" w:hAnsi="宋体" w:eastAsia="宋体" w:cs="宋体"/>
                <w:color w:val="000000"/>
                <w:kern w:val="0"/>
              </w:rPr>
              <w:t>系统、精密空调系统、安防系统及动力环境监控系统。</w:t>
            </w:r>
            <w:r>
              <w:rPr>
                <w:rFonts w:hint="eastAsia" w:ascii="宋体" w:hAnsi="宋体" w:cs="宋体"/>
                <w:color w:val="000000"/>
                <w:kern w:val="0"/>
                <w:lang w:val="en-US" w:eastAsia="zh-CN"/>
              </w:rPr>
              <w:t xml:space="preserve"> </w:t>
            </w:r>
            <w:r>
              <w:rPr>
                <w:rFonts w:hint="eastAsia" w:ascii="宋体" w:hAnsi="宋体" w:cs="宋体"/>
                <w:color w:val="FF0000"/>
                <w:kern w:val="0"/>
                <w:lang w:val="en-US" w:eastAsia="zh-CN"/>
              </w:rPr>
              <w:t>（不但需要提供巡检服务，还需要提供</w:t>
            </w:r>
            <w:r>
              <w:rPr>
                <w:rFonts w:hint="eastAsia" w:ascii="宋体" w:hAnsi="宋体" w:eastAsia="宋体" w:cs="宋体"/>
                <w:color w:val="FF0000"/>
                <w:kern w:val="0"/>
              </w:rPr>
              <w:t>质保服务</w:t>
            </w:r>
            <w:r>
              <w:rPr>
                <w:rFonts w:hint="eastAsia" w:ascii="宋体" w:hAnsi="宋体" w:cs="宋体"/>
                <w:color w:val="FF0000"/>
                <w:kern w:val="0"/>
                <w:lang w:eastAsia="zh-CN"/>
              </w:rPr>
              <w:t>）</w:t>
            </w:r>
          </w:p>
          <w:p>
            <w:pPr>
              <w:pStyle w:val="51"/>
              <w:widowControl w:val="0"/>
              <w:numPr>
                <w:ilvl w:val="0"/>
                <w:numId w:val="1"/>
              </w:numPr>
              <w:autoSpaceDE w:val="0"/>
              <w:autoSpaceDN w:val="0"/>
              <w:snapToGrid w:val="0"/>
              <w:ind w:firstLineChars="0"/>
              <w:rPr>
                <w:rFonts w:hint="eastAsia" w:ascii="宋体" w:hAnsi="宋体" w:eastAsia="宋体" w:cs="宋体"/>
                <w:color w:val="000000"/>
                <w:kern w:val="0"/>
              </w:rPr>
            </w:pPr>
            <w:r>
              <w:rPr>
                <w:rFonts w:hint="eastAsia" w:ascii="宋体" w:hAnsi="宋体" w:eastAsia="宋体" w:cs="宋体"/>
                <w:color w:val="000000"/>
                <w:kern w:val="0"/>
                <w:lang w:val="en-US" w:eastAsia="zh-CN"/>
              </w:rPr>
              <w:t>数据中心机房检验检测服务，并出具第三方检测报告。</w:t>
            </w:r>
          </w:p>
          <w:p>
            <w:pPr>
              <w:pStyle w:val="51"/>
              <w:widowControl w:val="0"/>
              <w:numPr>
                <w:ilvl w:val="0"/>
                <w:numId w:val="1"/>
              </w:numPr>
              <w:autoSpaceDE w:val="0"/>
              <w:autoSpaceDN w:val="0"/>
              <w:snapToGrid w:val="0"/>
              <w:ind w:firstLineChars="0"/>
              <w:rPr>
                <w:rFonts w:hint="eastAsia" w:ascii="宋体" w:hAnsi="宋体" w:eastAsia="宋体" w:cs="宋体"/>
                <w:color w:val="000000"/>
                <w:kern w:val="0"/>
              </w:rPr>
            </w:pPr>
            <w:r>
              <w:rPr>
                <w:rFonts w:hint="eastAsia" w:ascii="宋体" w:hAnsi="宋体" w:eastAsia="宋体" w:cs="宋体"/>
                <w:color w:val="000000"/>
                <w:kern w:val="0"/>
                <w:lang w:val="en-US" w:eastAsia="zh-CN"/>
              </w:rPr>
              <w:t>数据库容灾系统、备份系统维保服务</w:t>
            </w:r>
            <w:r>
              <w:rPr>
                <w:rFonts w:hint="eastAsia" w:ascii="宋体" w:hAnsi="宋体" w:eastAsia="宋体" w:cs="宋体"/>
                <w:color w:val="000000"/>
                <w:kern w:val="0"/>
              </w:rPr>
              <w:t>。</w:t>
            </w:r>
          </w:p>
          <w:p>
            <w:pPr>
              <w:pStyle w:val="51"/>
              <w:widowControl w:val="0"/>
              <w:numPr>
                <w:ilvl w:val="0"/>
                <w:numId w:val="1"/>
              </w:numPr>
              <w:autoSpaceDE w:val="0"/>
              <w:autoSpaceDN w:val="0"/>
              <w:snapToGrid w:val="0"/>
              <w:ind w:firstLineChars="0"/>
              <w:rPr>
                <w:rFonts w:hint="eastAsia" w:ascii="宋体" w:hAnsi="宋体" w:eastAsia="宋体" w:cs="宋体"/>
                <w:color w:val="000000"/>
                <w:kern w:val="0"/>
              </w:rPr>
            </w:pPr>
            <w:r>
              <w:rPr>
                <w:rFonts w:hint="eastAsia" w:ascii="宋体" w:hAnsi="宋体" w:eastAsia="宋体" w:cs="宋体"/>
                <w:color w:val="000000"/>
                <w:kern w:val="0"/>
                <w:lang w:val="en-US" w:eastAsia="zh-CN"/>
              </w:rPr>
              <w:t>提供一套数据中心设备运维监控软件；并提供7*24小时技术支持响应服务。</w:t>
            </w:r>
          </w:p>
          <w:p>
            <w:pPr>
              <w:pStyle w:val="51"/>
              <w:widowControl w:val="0"/>
              <w:numPr>
                <w:ilvl w:val="0"/>
                <w:numId w:val="1"/>
              </w:numPr>
              <w:autoSpaceDE w:val="0"/>
              <w:autoSpaceDN w:val="0"/>
              <w:snapToGrid w:val="0"/>
              <w:ind w:firstLineChars="0"/>
              <w:rPr>
                <w:rFonts w:hint="eastAsia" w:ascii="宋体" w:hAnsi="宋体" w:eastAsia="宋体" w:cs="宋体"/>
                <w:color w:val="000000"/>
                <w:kern w:val="0"/>
              </w:rPr>
            </w:pPr>
            <w:r>
              <w:rPr>
                <w:rFonts w:hint="eastAsia" w:ascii="宋体" w:hAnsi="宋体" w:eastAsia="宋体" w:cs="宋体"/>
                <w:color w:val="000000"/>
                <w:kern w:val="0"/>
                <w:lang w:val="en-US" w:eastAsia="zh-CN"/>
              </w:rPr>
              <w:t>驻场运维工程师1名（每周5个工作日驻场运维技术支持服务）。</w:t>
            </w:r>
          </w:p>
          <w:p>
            <w:pPr>
              <w:pStyle w:val="51"/>
              <w:widowControl w:val="0"/>
              <w:numPr>
                <w:ilvl w:val="0"/>
                <w:numId w:val="1"/>
              </w:numPr>
              <w:autoSpaceDE w:val="0"/>
              <w:autoSpaceDN w:val="0"/>
              <w:snapToGrid w:val="0"/>
              <w:ind w:firstLineChars="0"/>
              <w:rPr>
                <w:rFonts w:hint="eastAsia" w:ascii="宋体" w:hAnsi="宋体" w:eastAsia="宋体" w:cs="宋体"/>
                <w:color w:val="000000"/>
                <w:kern w:val="0"/>
                <w:lang w:val="en-US" w:eastAsia="zh-CN"/>
              </w:rPr>
            </w:pPr>
            <w:r>
              <w:rPr>
                <w:rFonts w:hint="eastAsia" w:ascii="宋体" w:hAnsi="宋体" w:eastAsia="宋体" w:cs="宋体"/>
                <w:color w:val="000000"/>
                <w:kern w:val="0"/>
                <w:lang w:val="en-US" w:eastAsia="zh-CN"/>
              </w:rPr>
              <w:t>出具数据中心机房优化解决方案</w:t>
            </w:r>
          </w:p>
        </w:tc>
        <w:tc>
          <w:tcPr>
            <w:tcW w:w="360" w:type="pct"/>
            <w:tcBorders>
              <w:top w:val="nil"/>
              <w:left w:val="nil"/>
              <w:bottom w:val="single" w:color="auto" w:sz="4" w:space="0"/>
              <w:right w:val="single" w:color="auto" w:sz="4" w:space="0"/>
            </w:tcBorders>
            <w:shd w:val="clear" w:color="auto" w:fill="auto"/>
            <w:vAlign w:val="center"/>
          </w:tcPr>
          <w:p>
            <w:pPr>
              <w:jc w:val="center"/>
              <w:rPr>
                <w:rFonts w:hint="eastAsia" w:ascii="宋体" w:hAnsi="宋体" w:eastAsia="宋体" w:cs="宋体"/>
                <w:color w:val="000000"/>
                <w:kern w:val="0"/>
              </w:rPr>
            </w:pPr>
            <w:r>
              <w:rPr>
                <w:rFonts w:hint="eastAsia" w:ascii="宋体" w:hAnsi="宋体" w:eastAsia="宋体" w:cs="宋体"/>
                <w:color w:val="000000"/>
                <w:kern w:val="0"/>
              </w:rPr>
              <w:t>项</w:t>
            </w:r>
          </w:p>
        </w:tc>
        <w:tc>
          <w:tcPr>
            <w:tcW w:w="362" w:type="pct"/>
            <w:tcBorders>
              <w:top w:val="nil"/>
              <w:left w:val="nil"/>
              <w:bottom w:val="single" w:color="auto" w:sz="4" w:space="0"/>
              <w:right w:val="single" w:color="auto" w:sz="4" w:space="0"/>
            </w:tcBorders>
            <w:shd w:val="clear" w:color="auto" w:fill="auto"/>
            <w:vAlign w:val="center"/>
          </w:tcPr>
          <w:p>
            <w:pPr>
              <w:jc w:val="center"/>
              <w:rPr>
                <w:rFonts w:hint="eastAsia" w:ascii="宋体" w:hAnsi="宋体" w:eastAsia="宋体" w:cs="宋体"/>
                <w:color w:val="000000"/>
                <w:kern w:val="0"/>
              </w:rPr>
            </w:pPr>
            <w:r>
              <w:rPr>
                <w:rFonts w:hint="eastAsia" w:ascii="宋体" w:hAnsi="宋体" w:eastAsia="宋体" w:cs="宋体"/>
                <w:color w:val="000000"/>
                <w:kern w:val="0"/>
              </w:rPr>
              <w:t>1</w:t>
            </w:r>
          </w:p>
        </w:tc>
      </w:tr>
    </w:tbl>
    <w:p>
      <w:pPr>
        <w:rPr>
          <w:rFonts w:hint="eastAsia" w:ascii="宋体" w:hAnsi="宋体" w:eastAsia="宋体" w:cs="宋体"/>
        </w:rPr>
      </w:pPr>
    </w:p>
    <w:p>
      <w:pPr>
        <w:bidi w:val="0"/>
        <w:rPr>
          <w:rFonts w:hint="eastAsia" w:ascii="宋体" w:hAnsi="宋体" w:eastAsia="宋体" w:cs="宋体"/>
        </w:rPr>
      </w:pPr>
    </w:p>
    <w:p>
      <w:pPr>
        <w:rPr>
          <w:rFonts w:hint="eastAsia" w:ascii="宋体" w:hAnsi="宋体" w:eastAsia="宋体" w:cs="宋体"/>
        </w:rPr>
      </w:pPr>
      <w:r>
        <w:rPr>
          <w:rStyle w:val="35"/>
          <w:rFonts w:hint="eastAsia" w:ascii="宋体" w:hAnsi="宋体" w:eastAsia="宋体" w:cs="宋体"/>
          <w:b/>
          <w:lang w:val="en-US" w:eastAsia="zh-CN"/>
        </w:rPr>
        <w:t>2、案例要求：供应商</w:t>
      </w:r>
      <w:r>
        <w:rPr>
          <w:rStyle w:val="35"/>
          <w:rFonts w:hint="eastAsia" w:ascii="宋体" w:hAnsi="宋体" w:eastAsia="宋体" w:cs="宋体"/>
          <w:b/>
        </w:rPr>
        <w:t>具有</w:t>
      </w:r>
      <w:r>
        <w:rPr>
          <w:rStyle w:val="35"/>
          <w:rFonts w:hint="eastAsia" w:ascii="宋体" w:hAnsi="宋体" w:eastAsia="宋体" w:cs="宋体"/>
          <w:b/>
          <w:lang w:val="en-US" w:eastAsia="zh-CN"/>
        </w:rPr>
        <w:t>湖州区域医疗行业</w:t>
      </w:r>
      <w:r>
        <w:rPr>
          <w:rStyle w:val="35"/>
          <w:rFonts w:hint="eastAsia" w:ascii="宋体" w:hAnsi="宋体" w:eastAsia="宋体" w:cs="宋体"/>
          <w:b/>
        </w:rPr>
        <w:t>数据中心IT设备维保及运维的相关案例</w:t>
      </w:r>
      <w:r>
        <w:rPr>
          <w:rStyle w:val="35"/>
          <w:rFonts w:hint="eastAsia" w:ascii="宋体" w:hAnsi="宋体" w:eastAsia="宋体" w:cs="宋体"/>
          <w:b/>
          <w:lang w:eastAsia="zh-CN"/>
        </w:rPr>
        <w:t>，</w:t>
      </w:r>
      <w:r>
        <w:rPr>
          <w:rStyle w:val="35"/>
          <w:rFonts w:hint="eastAsia" w:ascii="宋体" w:hAnsi="宋体" w:eastAsia="宋体" w:cs="宋体"/>
          <w:b/>
          <w:lang w:val="en-US" w:eastAsia="zh-CN"/>
        </w:rPr>
        <w:t>仅限于供应商与院方的直接合作案例并提供202</w:t>
      </w:r>
      <w:r>
        <w:rPr>
          <w:rStyle w:val="35"/>
          <w:rFonts w:hint="eastAsia" w:ascii="宋体" w:hAnsi="宋体" w:cs="宋体"/>
          <w:b/>
          <w:lang w:val="en-US" w:eastAsia="zh-CN"/>
        </w:rPr>
        <w:t>3</w:t>
      </w:r>
      <w:r>
        <w:rPr>
          <w:rStyle w:val="35"/>
          <w:rFonts w:hint="eastAsia" w:ascii="宋体" w:hAnsi="宋体" w:eastAsia="宋体" w:cs="宋体"/>
          <w:b/>
          <w:lang w:val="en-US" w:eastAsia="zh-CN"/>
        </w:rPr>
        <w:t>年以来相应的合同复印件</w:t>
      </w:r>
      <w:r>
        <w:rPr>
          <w:rStyle w:val="35"/>
          <w:rFonts w:hint="eastAsia" w:ascii="宋体" w:hAnsi="宋体" w:eastAsia="宋体" w:cs="宋体"/>
          <w:b w:val="0"/>
          <w:color w:val="000000"/>
          <w:sz w:val="24"/>
          <w:szCs w:val="24"/>
        </w:rPr>
        <w:t>。</w:t>
      </w:r>
    </w:p>
    <w:p>
      <w:pPr>
        <w:pStyle w:val="3"/>
        <w:rPr>
          <w:rStyle w:val="35"/>
          <w:rFonts w:hint="eastAsia" w:ascii="宋体" w:hAnsi="宋体" w:eastAsia="宋体" w:cs="宋体"/>
          <w:b/>
        </w:rPr>
      </w:pPr>
      <w:r>
        <w:rPr>
          <w:rStyle w:val="35"/>
          <w:rFonts w:hint="eastAsia" w:ascii="宋体" w:hAnsi="宋体" w:eastAsia="宋体" w:cs="宋体"/>
          <w:b/>
        </w:rPr>
        <w:t>3、服务内容</w:t>
      </w:r>
    </w:p>
    <w:p>
      <w:pPr>
        <w:numPr>
          <w:ilvl w:val="1"/>
          <w:numId w:val="2"/>
        </w:numPr>
        <w:bidi w:val="0"/>
        <w:rPr>
          <w:rFonts w:hint="eastAsia" w:ascii="宋体" w:hAnsi="宋体" w:eastAsia="宋体" w:cs="宋体"/>
          <w:b/>
          <w:bCs/>
          <w:sz w:val="30"/>
          <w:szCs w:val="30"/>
        </w:rPr>
      </w:pPr>
      <w:bookmarkStart w:id="0" w:name="_Toc176253213"/>
      <w:bookmarkStart w:id="1" w:name="_Toc192247509"/>
      <w:r>
        <w:rPr>
          <w:rFonts w:hint="eastAsia" w:ascii="宋体" w:hAnsi="宋体" w:eastAsia="宋体" w:cs="宋体"/>
          <w:b/>
          <w:bCs/>
          <w:sz w:val="30"/>
          <w:szCs w:val="30"/>
          <w:lang w:val="en-US" w:eastAsia="zh-CN"/>
        </w:rPr>
        <w:t>数据中心</w:t>
      </w:r>
      <w:r>
        <w:rPr>
          <w:rFonts w:hint="eastAsia" w:ascii="宋体" w:hAnsi="宋体" w:eastAsia="宋体" w:cs="宋体"/>
          <w:b/>
          <w:bCs/>
          <w:sz w:val="30"/>
          <w:szCs w:val="30"/>
        </w:rPr>
        <w:t>硬件设备质保服务</w:t>
      </w:r>
      <w:bookmarkEnd w:id="0"/>
      <w:bookmarkEnd w:id="1"/>
    </w:p>
    <w:p>
      <w:pPr>
        <w:pStyle w:val="27"/>
        <w:rPr>
          <w:rFonts w:hint="eastAsia" w:ascii="宋体" w:hAnsi="宋体" w:eastAsia="宋体" w:cs="宋体"/>
        </w:rPr>
      </w:pP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对要求原厂维保设备，服务</w:t>
      </w:r>
      <w:r>
        <w:rPr>
          <w:rFonts w:hint="eastAsia" w:ascii="宋体" w:hAnsi="宋体" w:eastAsia="宋体" w:cs="宋体"/>
          <w:sz w:val="24"/>
          <w:szCs w:val="24"/>
          <w:lang w:val="en-US" w:eastAsia="zh-CN"/>
        </w:rPr>
        <w:t>商</w:t>
      </w:r>
      <w:r>
        <w:rPr>
          <w:rFonts w:hint="eastAsia" w:ascii="宋体" w:hAnsi="宋体" w:eastAsia="宋体" w:cs="宋体"/>
          <w:sz w:val="24"/>
          <w:szCs w:val="24"/>
        </w:rPr>
        <w:t>应及时协调设备原厂商予以维修，并监督维修时效和质量；</w:t>
      </w:r>
      <w:r>
        <w:rPr>
          <w:rFonts w:hint="eastAsia" w:ascii="宋体" w:hAnsi="宋体" w:eastAsia="宋体" w:cs="宋体"/>
          <w:sz w:val="24"/>
          <w:szCs w:val="24"/>
          <w:lang w:val="en-US" w:eastAsia="zh-CN"/>
        </w:rPr>
        <w:t>对于第</w:t>
      </w:r>
      <w:r>
        <w:rPr>
          <w:rFonts w:hint="eastAsia" w:ascii="宋体" w:hAnsi="宋体" w:eastAsia="宋体" w:cs="宋体"/>
          <w:sz w:val="24"/>
          <w:szCs w:val="24"/>
        </w:rPr>
        <w:t>三方维保设备，应设置备件库，如需更换配件，应严格按照响应时间要求提供相关配件，所需配件购置费用由服务</w:t>
      </w:r>
      <w:r>
        <w:rPr>
          <w:rFonts w:hint="eastAsia" w:ascii="宋体" w:hAnsi="宋体" w:eastAsia="宋体" w:cs="宋体"/>
          <w:sz w:val="24"/>
          <w:szCs w:val="24"/>
          <w:lang w:val="en-US" w:eastAsia="zh-CN"/>
        </w:rPr>
        <w:t>商</w:t>
      </w:r>
      <w:r>
        <w:rPr>
          <w:rFonts w:hint="eastAsia" w:ascii="宋体" w:hAnsi="宋体" w:eastAsia="宋体" w:cs="宋体"/>
          <w:sz w:val="24"/>
          <w:szCs w:val="24"/>
        </w:rPr>
        <w:t>承担。如设备需要整机维修，服务</w:t>
      </w:r>
      <w:r>
        <w:rPr>
          <w:rFonts w:hint="eastAsia" w:ascii="宋体" w:hAnsi="宋体" w:eastAsia="宋体" w:cs="宋体"/>
          <w:sz w:val="24"/>
          <w:szCs w:val="24"/>
          <w:lang w:val="en-US" w:eastAsia="zh-CN"/>
        </w:rPr>
        <w:t>商</w:t>
      </w:r>
      <w:r>
        <w:rPr>
          <w:rFonts w:hint="eastAsia" w:ascii="宋体" w:hAnsi="宋体" w:eastAsia="宋体" w:cs="宋体"/>
          <w:sz w:val="24"/>
          <w:szCs w:val="24"/>
        </w:rPr>
        <w:t>须在响应时间内提供同等性能的备机，并及时恢复运行。</w:t>
      </w:r>
    </w:p>
    <w:p>
      <w:pPr>
        <w:numPr>
          <w:ilvl w:val="2"/>
          <w:numId w:val="3"/>
        </w:numPr>
        <w:bidi w:val="0"/>
        <w:rPr>
          <w:rFonts w:hint="eastAsia" w:ascii="宋体" w:hAnsi="宋体" w:eastAsia="宋体" w:cs="宋体"/>
          <w:b/>
          <w:bCs/>
          <w:sz w:val="30"/>
          <w:szCs w:val="30"/>
        </w:rPr>
      </w:pPr>
      <w:bookmarkStart w:id="2" w:name="_Toc192247510"/>
      <w:r>
        <w:rPr>
          <w:rFonts w:hint="eastAsia" w:ascii="宋体" w:hAnsi="宋体" w:eastAsia="宋体" w:cs="宋体"/>
          <w:b/>
          <w:bCs/>
          <w:sz w:val="30"/>
          <w:szCs w:val="30"/>
        </w:rPr>
        <w:t>硬件维保要求</w:t>
      </w:r>
      <w:r>
        <w:rPr>
          <w:rFonts w:hint="eastAsia" w:ascii="宋体" w:hAnsi="宋体" w:eastAsia="宋体" w:cs="宋体"/>
          <w:b/>
          <w:bCs/>
          <w:sz w:val="30"/>
          <w:szCs w:val="30"/>
          <w:lang w:val="en-US" w:eastAsia="zh-CN"/>
        </w:rPr>
        <w:t>设备清单</w:t>
      </w:r>
      <w:r>
        <w:rPr>
          <w:rFonts w:hint="eastAsia" w:ascii="宋体" w:hAnsi="宋体" w:eastAsia="宋体" w:cs="宋体"/>
          <w:b/>
          <w:bCs/>
          <w:sz w:val="30"/>
          <w:szCs w:val="30"/>
        </w:rPr>
        <w:t>：</w:t>
      </w:r>
      <w:bookmarkEnd w:id="2"/>
    </w:p>
    <w:p>
      <w:pPr>
        <w:ind w:firstLine="562" w:firstLineChars="200"/>
        <w:rPr>
          <w:rFonts w:hint="eastAsia" w:ascii="宋体" w:hAnsi="宋体" w:eastAsia="宋体" w:cs="宋体"/>
          <w:sz w:val="28"/>
          <w:szCs w:val="28"/>
        </w:rPr>
      </w:pPr>
      <w:r>
        <w:rPr>
          <w:rFonts w:hint="eastAsia" w:ascii="宋体" w:hAnsi="宋体" w:eastAsia="宋体" w:cs="宋体"/>
          <w:b/>
          <w:bCs/>
          <w:sz w:val="28"/>
          <w:szCs w:val="28"/>
        </w:rPr>
        <w:t>服务器部分</w:t>
      </w:r>
      <w:r>
        <w:rPr>
          <w:rFonts w:hint="eastAsia" w:ascii="宋体" w:hAnsi="宋体" w:eastAsia="宋体" w:cs="宋体"/>
          <w:sz w:val="28"/>
          <w:szCs w:val="28"/>
        </w:rPr>
        <w:t>：</w:t>
      </w:r>
    </w:p>
    <w:p>
      <w:pPr>
        <w:ind w:firstLine="420" w:firstLineChars="200"/>
        <w:rPr>
          <w:rFonts w:hint="eastAsia" w:ascii="宋体" w:hAnsi="宋体" w:eastAsia="宋体" w:cs="宋体"/>
        </w:rPr>
      </w:pPr>
    </w:p>
    <w:tbl>
      <w:tblPr>
        <w:tblStyle w:val="29"/>
        <w:tblW w:w="9712" w:type="dxa"/>
        <w:tblInd w:w="-258" w:type="dxa"/>
        <w:tblLayout w:type="fixed"/>
        <w:tblCellMar>
          <w:top w:w="0" w:type="dxa"/>
          <w:left w:w="108" w:type="dxa"/>
          <w:bottom w:w="0" w:type="dxa"/>
          <w:right w:w="108" w:type="dxa"/>
        </w:tblCellMar>
      </w:tblPr>
      <w:tblGrid>
        <w:gridCol w:w="1569"/>
        <w:gridCol w:w="3071"/>
        <w:gridCol w:w="1357"/>
        <w:gridCol w:w="1672"/>
        <w:gridCol w:w="2043"/>
      </w:tblGrid>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品牌</w:t>
            </w:r>
          </w:p>
        </w:tc>
        <w:tc>
          <w:tcPr>
            <w:tcW w:w="3071" w:type="dxa"/>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型号</w:t>
            </w:r>
          </w:p>
        </w:tc>
        <w:tc>
          <w:tcPr>
            <w:tcW w:w="1357" w:type="dxa"/>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状态</w:t>
            </w:r>
          </w:p>
        </w:tc>
        <w:tc>
          <w:tcPr>
            <w:tcW w:w="1672" w:type="dxa"/>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机房</w:t>
            </w:r>
          </w:p>
        </w:tc>
        <w:tc>
          <w:tcPr>
            <w:tcW w:w="2043" w:type="dxa"/>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备注</w:t>
            </w: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DELL R730</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DELL R730</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DELL R730</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DELL R730</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 DL580G7</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DELL R740</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DELL R740</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DELL R730</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DELL R730</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DELL R710</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DELL R740</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DELL R730</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DELL R730</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DELL R720</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Lenovo</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 xml:space="preserve"> SR590</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Lenovo</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DM120S</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66"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kern w:val="0"/>
                <w:szCs w:val="21"/>
              </w:rPr>
            </w:pPr>
            <w:r>
              <w:rPr>
                <w:rFonts w:hint="eastAsia" w:ascii="宋体" w:hAnsi="宋体" w:eastAsia="宋体" w:cs="宋体"/>
                <w:kern w:val="0"/>
                <w:szCs w:val="21"/>
              </w:rPr>
              <w:t>Lenovo</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DM5000H</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老机房</w:t>
            </w:r>
          </w:p>
        </w:tc>
        <w:tc>
          <w:tcPr>
            <w:tcW w:w="2043"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 w:val="21"/>
                <w:szCs w:val="21"/>
                <w:lang w:val="en-US" w:eastAsia="zh-CN" w:bidi="ar-SA"/>
              </w:rPr>
            </w:pPr>
            <w:r>
              <w:rPr>
                <w:rFonts w:hint="eastAsia" w:ascii="宋体" w:hAnsi="宋体" w:eastAsia="宋体" w:cs="宋体"/>
                <w:color w:val="000000"/>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default" w:ascii="宋体" w:hAnsi="宋体" w:eastAsia="宋体" w:cs="宋体"/>
                <w:color w:val="000000"/>
                <w:kern w:val="0"/>
                <w:sz w:val="21"/>
                <w:szCs w:val="21"/>
                <w:lang w:val="en-US" w:eastAsia="zh-CN" w:bidi="ar-SA"/>
              </w:rPr>
            </w:pPr>
            <w:r>
              <w:rPr>
                <w:rFonts w:hint="eastAsia" w:ascii="宋体" w:hAnsi="宋体" w:eastAsia="宋体" w:cs="宋体"/>
                <w:color w:val="000000"/>
                <w:kern w:val="0"/>
                <w:szCs w:val="21"/>
              </w:rPr>
              <w:t>DELL R740</w:t>
            </w:r>
            <w:r>
              <w:rPr>
                <w:rFonts w:hint="eastAsia" w:ascii="宋体" w:hAnsi="宋体" w:cs="宋体"/>
                <w:color w:val="000000"/>
                <w:kern w:val="0"/>
                <w:szCs w:val="21"/>
                <w:lang w:val="en-US" w:eastAsia="zh-CN"/>
              </w:rPr>
              <w:t xml:space="preserve"> CA签名</w:t>
            </w:r>
          </w:p>
        </w:tc>
        <w:tc>
          <w:tcPr>
            <w:tcW w:w="1357"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 w:val="21"/>
                <w:szCs w:val="21"/>
                <w:lang w:val="en-US" w:eastAsia="zh-CN" w:bidi="ar-SA"/>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eastAsia" w:ascii="宋体" w:hAnsi="宋体" w:eastAsia="宋体" w:cs="宋体"/>
                <w:color w:val="000000"/>
                <w:kern w:val="0"/>
                <w:sz w:val="21"/>
                <w:szCs w:val="21"/>
                <w:lang w:val="en-US" w:eastAsia="zh-CN" w:bidi="ar-SA"/>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auto"/>
            <w:noWrap/>
            <w:vAlign w:val="center"/>
          </w:tcPr>
          <w:p>
            <w:pPr>
              <w:jc w:val="center"/>
              <w:rPr>
                <w:rFonts w:hint="default" w:ascii="宋体" w:hAnsi="宋体" w:eastAsia="宋体" w:cs="宋体"/>
                <w:color w:val="000000"/>
                <w:kern w:val="0"/>
                <w:sz w:val="21"/>
                <w:szCs w:val="21"/>
                <w:lang w:val="en-US" w:eastAsia="zh-CN" w:bidi="ar-SA"/>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DELL R740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90"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DL580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DL580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DL580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DL580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DL580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DL580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DL580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DL580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Lenovo</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SR650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Lenovo</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SR650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Lenovo</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SR650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Lenovo</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SR650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Lenovo</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SR650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323"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Lenovo</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SR650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323"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Lenovo</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SR650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Lenovo</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SR650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DL380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DL380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DL380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DL380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DL380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DL380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DL380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DL380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DL380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DL380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DL380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DL380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000000"/>
                <w:kern w:val="0"/>
                <w:szCs w:val="21"/>
              </w:rPr>
            </w:pP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highlight w:val="none"/>
              </w:rPr>
            </w:pPr>
            <w:r>
              <w:rPr>
                <w:rFonts w:hint="eastAsia" w:ascii="宋体" w:hAnsi="宋体" w:eastAsia="宋体" w:cs="宋体"/>
                <w:color w:val="FF0000"/>
                <w:kern w:val="0"/>
                <w:szCs w:val="21"/>
                <w:highlight w:val="none"/>
              </w:rPr>
              <w:t>HPE</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highlight w:val="none"/>
              </w:rPr>
            </w:pPr>
            <w:r>
              <w:rPr>
                <w:rFonts w:hint="eastAsia" w:ascii="宋体" w:hAnsi="宋体" w:eastAsia="宋体" w:cs="宋体"/>
                <w:color w:val="FF0000"/>
                <w:kern w:val="0"/>
                <w:szCs w:val="21"/>
                <w:highlight w:val="none"/>
              </w:rPr>
              <w:t>DL388 G10</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highlight w:val="none"/>
              </w:rPr>
            </w:pPr>
            <w:r>
              <w:rPr>
                <w:rFonts w:hint="eastAsia" w:ascii="宋体" w:hAnsi="宋体" w:eastAsia="宋体" w:cs="宋体"/>
                <w:color w:val="FF0000"/>
                <w:kern w:val="0"/>
                <w:szCs w:val="21"/>
                <w:highlight w:val="none"/>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highlight w:val="none"/>
              </w:rPr>
            </w:pPr>
            <w:r>
              <w:rPr>
                <w:rFonts w:hint="eastAsia" w:ascii="宋体" w:hAnsi="宋体" w:eastAsia="宋体" w:cs="宋体"/>
                <w:color w:val="FF0000"/>
                <w:kern w:val="0"/>
                <w:szCs w:val="21"/>
                <w:highlight w:val="none"/>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highlight w:val="none"/>
                <w:lang w:val="en-US" w:eastAsia="zh-CN"/>
              </w:rPr>
            </w:pPr>
            <w:r>
              <w:rPr>
                <w:rFonts w:hint="eastAsia" w:ascii="宋体" w:hAnsi="宋体" w:cs="宋体"/>
                <w:color w:val="FF0000"/>
                <w:kern w:val="0"/>
                <w:szCs w:val="21"/>
                <w:highlight w:val="none"/>
                <w:lang w:val="en-US" w:eastAsia="zh-CN"/>
              </w:rPr>
              <w:t>磁带库连的服务器（海瑞）</w:t>
            </w:r>
            <w:r>
              <w:rPr>
                <w:rFonts w:hint="eastAsia" w:ascii="宋体" w:hAnsi="宋体" w:cs="宋体"/>
                <w:color w:val="FF0000"/>
                <w:kern w:val="0"/>
                <w:szCs w:val="21"/>
                <w:lang w:val="en-US" w:eastAsia="zh-CN"/>
              </w:rPr>
              <w:t>（三年质保）</w:t>
            </w: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Dell 730xd</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lang w:val="en-US" w:eastAsia="zh-CN"/>
              </w:rPr>
            </w:pPr>
            <w:r>
              <w:rPr>
                <w:rFonts w:hint="eastAsia" w:ascii="宋体" w:hAnsi="宋体" w:cs="宋体"/>
                <w:color w:val="FF0000"/>
                <w:kern w:val="0"/>
                <w:szCs w:val="21"/>
                <w:lang w:val="en-US" w:eastAsia="zh-CN"/>
              </w:rPr>
              <w:t>临床试验不需要维保</w:t>
            </w: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Dell 730xd</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lang w:val="en-US" w:eastAsia="zh-CN"/>
              </w:rPr>
            </w:pPr>
            <w:r>
              <w:rPr>
                <w:rFonts w:hint="eastAsia" w:ascii="宋体" w:hAnsi="宋体" w:cs="宋体"/>
                <w:color w:val="FF0000"/>
                <w:kern w:val="0"/>
                <w:szCs w:val="21"/>
                <w:lang w:val="en-US" w:eastAsia="zh-CN"/>
              </w:rPr>
              <w:t>临床试验不需要维保</w:t>
            </w: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Dell 730xd</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lang w:val="en-US" w:eastAsia="zh-CN"/>
              </w:rPr>
            </w:pPr>
            <w:r>
              <w:rPr>
                <w:rFonts w:hint="eastAsia" w:ascii="宋体" w:hAnsi="宋体" w:cs="宋体"/>
                <w:color w:val="FF0000"/>
                <w:kern w:val="0"/>
                <w:szCs w:val="21"/>
                <w:lang w:val="en-US" w:eastAsia="zh-CN"/>
              </w:rPr>
              <w:t>临床试验不需要维保</w:t>
            </w: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DELL</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Dell 730xd</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lang w:val="en-US" w:eastAsia="zh-CN"/>
              </w:rPr>
            </w:pPr>
            <w:r>
              <w:rPr>
                <w:rFonts w:hint="eastAsia" w:ascii="宋体" w:hAnsi="宋体" w:cs="宋体"/>
                <w:color w:val="FF0000"/>
                <w:kern w:val="0"/>
                <w:szCs w:val="21"/>
                <w:lang w:val="en-US" w:eastAsia="zh-CN"/>
              </w:rPr>
              <w:t>临床试验不需要维保</w:t>
            </w: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华为</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2280 kunpeng</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lang w:val="en-US" w:eastAsia="zh-CN"/>
              </w:rPr>
            </w:pPr>
            <w:r>
              <w:rPr>
                <w:rFonts w:hint="eastAsia" w:ascii="宋体" w:hAnsi="宋体" w:cs="宋体"/>
                <w:color w:val="FF0000"/>
                <w:kern w:val="0"/>
                <w:szCs w:val="21"/>
                <w:lang w:val="en-US" w:eastAsia="zh-CN"/>
              </w:rPr>
              <w:t xml:space="preserve">保内（三年质保） </w:t>
            </w: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深信服</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桌面服务器</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lang w:val="en-US" w:eastAsia="zh-CN"/>
              </w:rPr>
            </w:pPr>
            <w:r>
              <w:rPr>
                <w:rFonts w:hint="eastAsia" w:ascii="宋体" w:hAnsi="宋体" w:cs="宋体"/>
                <w:color w:val="FF0000"/>
                <w:kern w:val="0"/>
                <w:szCs w:val="21"/>
                <w:lang w:val="en-US" w:eastAsia="zh-CN"/>
              </w:rPr>
              <w:t>保内（三年质保）</w:t>
            </w: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深信服</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桌面服务器</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lang w:val="en-US" w:eastAsia="zh-CN"/>
              </w:rPr>
            </w:pPr>
            <w:r>
              <w:rPr>
                <w:rFonts w:hint="eastAsia" w:ascii="宋体" w:hAnsi="宋体" w:cs="宋体"/>
                <w:color w:val="FF0000"/>
                <w:kern w:val="0"/>
                <w:szCs w:val="21"/>
                <w:lang w:val="en-US" w:eastAsia="zh-CN"/>
              </w:rPr>
              <w:t>保内（三年质保）</w:t>
            </w: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深信服</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桌面服务器</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lang w:val="en-US" w:eastAsia="zh-CN"/>
              </w:rPr>
            </w:pPr>
            <w:r>
              <w:rPr>
                <w:rFonts w:hint="eastAsia" w:ascii="宋体" w:hAnsi="宋体" w:cs="宋体"/>
                <w:color w:val="FF0000"/>
                <w:kern w:val="0"/>
                <w:szCs w:val="21"/>
                <w:lang w:val="en-US" w:eastAsia="zh-CN"/>
              </w:rPr>
              <w:t>保内（三年质保）</w:t>
            </w: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深信服</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桌面服务器</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lang w:val="en-US" w:eastAsia="zh-CN"/>
              </w:rPr>
            </w:pPr>
            <w:r>
              <w:rPr>
                <w:rFonts w:hint="eastAsia" w:ascii="宋体" w:hAnsi="宋体" w:cs="宋体"/>
                <w:color w:val="FF0000"/>
                <w:kern w:val="0"/>
                <w:szCs w:val="21"/>
                <w:lang w:val="en-US" w:eastAsia="zh-CN"/>
              </w:rPr>
              <w:t>保内（三年质保）</w:t>
            </w: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深信服</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桌面服务器</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lang w:val="en-US" w:eastAsia="zh-CN"/>
              </w:rPr>
            </w:pPr>
            <w:r>
              <w:rPr>
                <w:rFonts w:hint="eastAsia" w:ascii="宋体" w:hAnsi="宋体" w:cs="宋体"/>
                <w:color w:val="FF0000"/>
                <w:kern w:val="0"/>
                <w:szCs w:val="21"/>
                <w:lang w:val="en-US" w:eastAsia="zh-CN"/>
              </w:rPr>
              <w:t>保内（三年质保）</w:t>
            </w: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深信服</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桌面服务器</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lang w:val="en-US" w:eastAsia="zh-CN"/>
              </w:rPr>
            </w:pPr>
            <w:r>
              <w:rPr>
                <w:rFonts w:hint="eastAsia" w:ascii="宋体" w:hAnsi="宋体" w:cs="宋体"/>
                <w:color w:val="FF0000"/>
                <w:kern w:val="0"/>
                <w:szCs w:val="21"/>
                <w:lang w:val="en-US" w:eastAsia="zh-CN"/>
              </w:rPr>
              <w:t>保内（三年质保）</w:t>
            </w: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深信服</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桌面服务器</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lang w:val="en-US" w:eastAsia="zh-CN"/>
              </w:rPr>
            </w:pPr>
            <w:r>
              <w:rPr>
                <w:rFonts w:hint="eastAsia" w:ascii="宋体" w:hAnsi="宋体" w:cs="宋体"/>
                <w:color w:val="FF0000"/>
                <w:kern w:val="0"/>
                <w:szCs w:val="21"/>
                <w:lang w:val="en-US" w:eastAsia="zh-CN"/>
              </w:rPr>
              <w:t>保内（三年质保）</w:t>
            </w: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深信服</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桌面服务器</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lang w:val="en-US" w:eastAsia="zh-CN"/>
              </w:rPr>
            </w:pPr>
            <w:r>
              <w:rPr>
                <w:rFonts w:hint="eastAsia" w:ascii="宋体" w:hAnsi="宋体" w:cs="宋体"/>
                <w:color w:val="FF0000"/>
                <w:kern w:val="0"/>
                <w:szCs w:val="21"/>
                <w:lang w:val="en-US" w:eastAsia="zh-CN"/>
              </w:rPr>
              <w:t>保内（三年质保）</w:t>
            </w:r>
          </w:p>
        </w:tc>
      </w:tr>
      <w:tr>
        <w:tblPrEx>
          <w:tblCellMar>
            <w:top w:w="0" w:type="dxa"/>
            <w:left w:w="108" w:type="dxa"/>
            <w:bottom w:w="0" w:type="dxa"/>
            <w:right w:w="108" w:type="dxa"/>
          </w:tblCellMar>
        </w:tblPrEx>
        <w:trPr>
          <w:trHeight w:val="285" w:hRule="atLeast"/>
        </w:trPr>
        <w:tc>
          <w:tcPr>
            <w:tcW w:w="1569"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深信服</w:t>
            </w:r>
          </w:p>
        </w:tc>
        <w:tc>
          <w:tcPr>
            <w:tcW w:w="3071"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桌面服务器</w:t>
            </w:r>
          </w:p>
        </w:tc>
        <w:tc>
          <w:tcPr>
            <w:tcW w:w="1357"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使用</w:t>
            </w:r>
          </w:p>
        </w:tc>
        <w:tc>
          <w:tcPr>
            <w:tcW w:w="1672"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rPr>
            </w:pPr>
            <w:r>
              <w:rPr>
                <w:rFonts w:hint="eastAsia" w:ascii="宋体" w:hAnsi="宋体" w:eastAsia="宋体" w:cs="宋体"/>
                <w:color w:val="FF0000"/>
                <w:kern w:val="0"/>
                <w:szCs w:val="21"/>
              </w:rPr>
              <w:t>新机房</w:t>
            </w:r>
          </w:p>
        </w:tc>
        <w:tc>
          <w:tcPr>
            <w:tcW w:w="2043" w:type="dxa"/>
            <w:tcBorders>
              <w:top w:val="single" w:color="auto" w:sz="4" w:space="0"/>
              <w:left w:val="single" w:color="auto" w:sz="4" w:space="0"/>
              <w:bottom w:val="single" w:color="auto" w:sz="4" w:space="0"/>
              <w:right w:val="single" w:color="auto" w:sz="4" w:space="0"/>
            </w:tcBorders>
            <w:shd w:val="clear" w:color="DDEBF7" w:fill="FFFFFF" w:themeFill="background1"/>
            <w:noWrap/>
            <w:vAlign w:val="center"/>
          </w:tcPr>
          <w:p>
            <w:pPr>
              <w:jc w:val="center"/>
              <w:rPr>
                <w:rFonts w:hint="eastAsia" w:ascii="宋体" w:hAnsi="宋体" w:eastAsia="宋体" w:cs="宋体"/>
                <w:color w:val="FF0000"/>
                <w:kern w:val="0"/>
                <w:szCs w:val="21"/>
                <w:lang w:val="en-US" w:eastAsia="zh-CN"/>
              </w:rPr>
            </w:pPr>
            <w:r>
              <w:rPr>
                <w:rFonts w:hint="eastAsia" w:ascii="宋体" w:hAnsi="宋体" w:cs="宋体"/>
                <w:color w:val="FF0000"/>
                <w:kern w:val="0"/>
                <w:szCs w:val="21"/>
                <w:lang w:val="en-US" w:eastAsia="zh-CN"/>
              </w:rPr>
              <w:t>保内（三年质保）</w:t>
            </w:r>
          </w:p>
        </w:tc>
      </w:tr>
    </w:tbl>
    <w:p>
      <w:pPr>
        <w:pStyle w:val="27"/>
        <w:rPr>
          <w:rFonts w:hint="eastAsia" w:ascii="宋体" w:hAnsi="宋体" w:eastAsia="宋体" w:cs="宋体"/>
        </w:rPr>
      </w:pPr>
    </w:p>
    <w:p>
      <w:pPr>
        <w:pStyle w:val="27"/>
        <w:rPr>
          <w:rFonts w:hint="eastAsia" w:ascii="宋体" w:hAnsi="宋体" w:eastAsia="宋体" w:cs="宋体"/>
        </w:rPr>
      </w:pPr>
    </w:p>
    <w:p>
      <w:pPr>
        <w:pStyle w:val="27"/>
        <w:rPr>
          <w:rFonts w:hint="eastAsia" w:ascii="宋体" w:hAnsi="宋体" w:eastAsia="宋体" w:cs="宋体"/>
        </w:rPr>
      </w:pPr>
    </w:p>
    <w:p>
      <w:pPr>
        <w:pStyle w:val="27"/>
        <w:rPr>
          <w:rFonts w:hint="eastAsia" w:ascii="宋体" w:hAnsi="宋体" w:eastAsia="宋体" w:cs="宋体"/>
        </w:rPr>
      </w:pPr>
    </w:p>
    <w:p>
      <w:pPr>
        <w:pStyle w:val="27"/>
        <w:rPr>
          <w:rFonts w:hint="eastAsia" w:ascii="宋体" w:hAnsi="宋体" w:eastAsia="宋体" w:cs="宋体"/>
          <w:sz w:val="28"/>
          <w:szCs w:val="28"/>
        </w:rPr>
      </w:pPr>
    </w:p>
    <w:p>
      <w:pPr>
        <w:ind w:firstLine="562" w:firstLineChars="200"/>
        <w:rPr>
          <w:rFonts w:hint="eastAsia" w:ascii="宋体" w:hAnsi="宋体" w:eastAsia="宋体" w:cs="宋体"/>
          <w:b/>
          <w:bCs/>
          <w:sz w:val="28"/>
          <w:szCs w:val="28"/>
        </w:rPr>
      </w:pPr>
      <w:r>
        <w:rPr>
          <w:rFonts w:hint="eastAsia" w:ascii="宋体" w:hAnsi="宋体" w:eastAsia="宋体" w:cs="宋体"/>
          <w:b/>
          <w:bCs/>
          <w:sz w:val="28"/>
          <w:szCs w:val="28"/>
        </w:rPr>
        <w:t>交换机部分</w:t>
      </w:r>
    </w:p>
    <w:tbl>
      <w:tblPr>
        <w:tblStyle w:val="29"/>
        <w:tblW w:w="5117" w:type="pct"/>
        <w:tblInd w:w="-263" w:type="dxa"/>
        <w:shd w:val="clear" w:color="auto" w:fill="FFFFFF" w:themeFill="background1"/>
        <w:tblLayout w:type="fixed"/>
        <w:tblCellMar>
          <w:top w:w="0" w:type="dxa"/>
          <w:left w:w="108" w:type="dxa"/>
          <w:bottom w:w="0" w:type="dxa"/>
          <w:right w:w="108" w:type="dxa"/>
        </w:tblCellMar>
      </w:tblPr>
      <w:tblGrid>
        <w:gridCol w:w="1575"/>
        <w:gridCol w:w="3043"/>
        <w:gridCol w:w="1400"/>
        <w:gridCol w:w="1628"/>
        <w:gridCol w:w="2085"/>
      </w:tblGrid>
      <w:tr>
        <w:tblPrEx>
          <w:shd w:val="clear" w:color="auto" w:fill="FFFFFF" w:themeFill="background1"/>
          <w:tblCellMar>
            <w:top w:w="0" w:type="dxa"/>
            <w:left w:w="108" w:type="dxa"/>
            <w:bottom w:w="0" w:type="dxa"/>
            <w:right w:w="108" w:type="dxa"/>
          </w:tblCellMar>
        </w:tblPrEx>
        <w:trPr>
          <w:trHeight w:val="285" w:hRule="atLeast"/>
        </w:trPr>
        <w:tc>
          <w:tcPr>
            <w:tcW w:w="809" w:type="pct"/>
            <w:tcBorders>
              <w:top w:val="single" w:color="auto" w:sz="4" w:space="0"/>
              <w:left w:val="single" w:color="auto" w:sz="4" w:space="0"/>
              <w:bottom w:val="single" w:color="auto" w:sz="4" w:space="0"/>
              <w:right w:val="single" w:color="auto" w:sz="4" w:space="0"/>
            </w:tcBorders>
            <w:shd w:val="clear" w:color="auto" w:fill="FFFFFF" w:themeFill="background1"/>
            <w:noWrap/>
            <w:vAlign w:val="bottom"/>
          </w:tcPr>
          <w:p>
            <w:pPr>
              <w:jc w:val="center"/>
              <w:rPr>
                <w:rFonts w:hint="eastAsia" w:ascii="宋体" w:hAnsi="宋体" w:eastAsia="宋体" w:cs="宋体"/>
                <w:b/>
                <w:bCs/>
                <w:color w:val="000000" w:themeColor="text1"/>
                <w:kern w:val="0"/>
                <w:sz w:val="22"/>
                <w:szCs w:val="22"/>
                <w14:textFill>
                  <w14:solidFill>
                    <w14:schemeClr w14:val="tx1"/>
                  </w14:solidFill>
                </w14:textFill>
              </w:rPr>
            </w:pPr>
            <w:r>
              <w:rPr>
                <w:rFonts w:hint="eastAsia" w:ascii="宋体" w:hAnsi="宋体" w:eastAsia="宋体" w:cs="宋体"/>
                <w:b/>
                <w:bCs/>
                <w:color w:val="000000" w:themeColor="text1"/>
                <w:kern w:val="0"/>
                <w:sz w:val="22"/>
                <w:szCs w:val="22"/>
                <w14:textFill>
                  <w14:solidFill>
                    <w14:schemeClr w14:val="tx1"/>
                  </w14:solidFill>
                </w14:textFill>
              </w:rPr>
              <w:t>品牌</w:t>
            </w:r>
          </w:p>
        </w:tc>
        <w:tc>
          <w:tcPr>
            <w:tcW w:w="1563" w:type="pct"/>
            <w:tcBorders>
              <w:top w:val="single" w:color="auto" w:sz="4" w:space="0"/>
              <w:left w:val="single" w:color="auto" w:sz="4" w:space="0"/>
              <w:bottom w:val="single" w:color="auto" w:sz="4" w:space="0"/>
              <w:right w:val="single" w:color="auto" w:sz="4" w:space="0"/>
            </w:tcBorders>
            <w:shd w:val="clear" w:color="auto" w:fill="FFFFFF" w:themeFill="background1"/>
            <w:noWrap/>
            <w:vAlign w:val="bottom"/>
          </w:tcPr>
          <w:p>
            <w:pPr>
              <w:jc w:val="center"/>
              <w:rPr>
                <w:rFonts w:hint="eastAsia" w:ascii="宋体" w:hAnsi="宋体" w:eastAsia="宋体" w:cs="宋体"/>
                <w:b/>
                <w:bCs/>
                <w:color w:val="000000" w:themeColor="text1"/>
                <w:kern w:val="0"/>
                <w:sz w:val="22"/>
                <w:szCs w:val="22"/>
                <w14:textFill>
                  <w14:solidFill>
                    <w14:schemeClr w14:val="tx1"/>
                  </w14:solidFill>
                </w14:textFill>
              </w:rPr>
            </w:pPr>
            <w:r>
              <w:rPr>
                <w:rFonts w:hint="eastAsia" w:ascii="宋体" w:hAnsi="宋体" w:eastAsia="宋体" w:cs="宋体"/>
                <w:b/>
                <w:bCs/>
                <w:color w:val="000000" w:themeColor="text1"/>
                <w:kern w:val="0"/>
                <w:sz w:val="22"/>
                <w:szCs w:val="22"/>
                <w14:textFill>
                  <w14:solidFill>
                    <w14:schemeClr w14:val="tx1"/>
                  </w14:solidFill>
                </w14:textFill>
              </w:rPr>
              <w:t>型号</w:t>
            </w:r>
          </w:p>
        </w:tc>
        <w:tc>
          <w:tcPr>
            <w:tcW w:w="719" w:type="pct"/>
            <w:tcBorders>
              <w:top w:val="single" w:color="auto" w:sz="4" w:space="0"/>
              <w:left w:val="single" w:color="auto" w:sz="4" w:space="0"/>
              <w:bottom w:val="single" w:color="auto" w:sz="4" w:space="0"/>
              <w:right w:val="single" w:color="auto" w:sz="4" w:space="0"/>
            </w:tcBorders>
            <w:shd w:val="clear" w:color="auto" w:fill="FFFFFF" w:themeFill="background1"/>
            <w:noWrap/>
            <w:vAlign w:val="bottom"/>
          </w:tcPr>
          <w:p>
            <w:pPr>
              <w:jc w:val="center"/>
              <w:rPr>
                <w:rFonts w:hint="eastAsia" w:ascii="宋体" w:hAnsi="宋体" w:eastAsia="宋体" w:cs="宋体"/>
                <w:b/>
                <w:bCs/>
                <w:color w:val="000000" w:themeColor="text1"/>
                <w:kern w:val="0"/>
                <w:sz w:val="22"/>
                <w:szCs w:val="22"/>
                <w14:textFill>
                  <w14:solidFill>
                    <w14:schemeClr w14:val="tx1"/>
                  </w14:solidFill>
                </w14:textFill>
              </w:rPr>
            </w:pPr>
            <w:r>
              <w:rPr>
                <w:rFonts w:hint="eastAsia" w:ascii="宋体" w:hAnsi="宋体" w:eastAsia="宋体" w:cs="宋体"/>
                <w:b/>
                <w:bCs/>
                <w:color w:val="000000" w:themeColor="text1"/>
                <w:kern w:val="0"/>
                <w:sz w:val="22"/>
                <w:szCs w:val="22"/>
                <w14:textFill>
                  <w14:solidFill>
                    <w14:schemeClr w14:val="tx1"/>
                  </w14:solidFill>
                </w14:textFill>
              </w:rPr>
              <w:t>状态</w:t>
            </w:r>
          </w:p>
        </w:tc>
        <w:tc>
          <w:tcPr>
            <w:tcW w:w="836" w:type="pct"/>
            <w:tcBorders>
              <w:top w:val="single" w:color="auto" w:sz="4" w:space="0"/>
              <w:left w:val="single" w:color="auto" w:sz="4" w:space="0"/>
              <w:bottom w:val="single" w:color="auto" w:sz="4" w:space="0"/>
              <w:right w:val="single" w:color="auto" w:sz="4" w:space="0"/>
            </w:tcBorders>
            <w:shd w:val="clear" w:color="auto" w:fill="FFFFFF" w:themeFill="background1"/>
            <w:noWrap/>
            <w:vAlign w:val="bottom"/>
          </w:tcPr>
          <w:p>
            <w:pPr>
              <w:jc w:val="center"/>
              <w:rPr>
                <w:rFonts w:hint="eastAsia" w:ascii="宋体" w:hAnsi="宋体" w:eastAsia="宋体" w:cs="宋体"/>
                <w:b/>
                <w:bCs/>
                <w:color w:val="000000" w:themeColor="text1"/>
                <w:kern w:val="0"/>
                <w:sz w:val="22"/>
                <w:szCs w:val="22"/>
                <w14:textFill>
                  <w14:solidFill>
                    <w14:schemeClr w14:val="tx1"/>
                  </w14:solidFill>
                </w14:textFill>
              </w:rPr>
            </w:pPr>
            <w:r>
              <w:rPr>
                <w:rFonts w:hint="eastAsia" w:ascii="宋体" w:hAnsi="宋体" w:eastAsia="宋体" w:cs="宋体"/>
                <w:b/>
                <w:bCs/>
                <w:color w:val="000000" w:themeColor="text1"/>
                <w:kern w:val="0"/>
                <w:sz w:val="22"/>
                <w:szCs w:val="22"/>
                <w14:textFill>
                  <w14:solidFill>
                    <w14:schemeClr w14:val="tx1"/>
                  </w14:solidFill>
                </w14:textFill>
              </w:rPr>
              <w:t>机房</w:t>
            </w:r>
          </w:p>
        </w:tc>
        <w:tc>
          <w:tcPr>
            <w:tcW w:w="1071" w:type="pct"/>
            <w:tcBorders>
              <w:top w:val="single" w:color="auto" w:sz="4" w:space="0"/>
              <w:left w:val="single" w:color="auto" w:sz="4" w:space="0"/>
              <w:bottom w:val="single" w:color="auto" w:sz="4" w:space="0"/>
              <w:right w:val="single" w:color="auto" w:sz="4" w:space="0"/>
            </w:tcBorders>
            <w:shd w:val="clear" w:color="auto" w:fill="FFFFFF" w:themeFill="background1"/>
            <w:noWrap/>
            <w:vAlign w:val="bottom"/>
          </w:tcPr>
          <w:p>
            <w:pPr>
              <w:jc w:val="center"/>
              <w:rPr>
                <w:rFonts w:hint="eastAsia" w:ascii="宋体" w:hAnsi="宋体" w:eastAsia="宋体" w:cs="宋体"/>
                <w:b/>
                <w:bCs/>
                <w:color w:val="000000" w:themeColor="text1"/>
                <w:kern w:val="0"/>
                <w:sz w:val="22"/>
                <w:szCs w:val="22"/>
                <w:lang w:eastAsia="zh-CN"/>
                <w14:textFill>
                  <w14:solidFill>
                    <w14:schemeClr w14:val="tx1"/>
                  </w14:solidFill>
                </w14:textFill>
              </w:rPr>
            </w:pPr>
            <w:r>
              <w:rPr>
                <w:rFonts w:hint="eastAsia" w:ascii="宋体" w:hAnsi="宋体" w:eastAsia="宋体" w:cs="宋体"/>
                <w:b/>
                <w:bCs/>
                <w:color w:val="000000" w:themeColor="text1"/>
                <w:kern w:val="0"/>
                <w:sz w:val="22"/>
                <w:szCs w:val="22"/>
                <w:lang w:val="en-US" w:eastAsia="zh-CN"/>
                <w14:textFill>
                  <w14:solidFill>
                    <w14:schemeClr w14:val="tx1"/>
                  </w14:solidFill>
                </w14:textFill>
              </w:rPr>
              <w:t>备注</w:t>
            </w:r>
          </w:p>
        </w:tc>
      </w:tr>
      <w:tr>
        <w:tblPrEx>
          <w:shd w:val="clear" w:color="auto" w:fill="FFFFFF" w:themeFill="background1"/>
          <w:tblCellMar>
            <w:top w:w="0" w:type="dxa"/>
            <w:left w:w="108" w:type="dxa"/>
            <w:bottom w:w="0" w:type="dxa"/>
            <w:right w:w="108" w:type="dxa"/>
          </w:tblCellMar>
        </w:tblPrEx>
        <w:trPr>
          <w:trHeight w:val="285" w:hRule="atLeast"/>
        </w:trPr>
        <w:tc>
          <w:tcPr>
            <w:tcW w:w="809"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H3C</w:t>
            </w:r>
          </w:p>
        </w:tc>
        <w:tc>
          <w:tcPr>
            <w:tcW w:w="1563"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H3C S5170</w:t>
            </w:r>
          </w:p>
        </w:tc>
        <w:tc>
          <w:tcPr>
            <w:tcW w:w="719"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使用</w:t>
            </w:r>
          </w:p>
        </w:tc>
        <w:tc>
          <w:tcPr>
            <w:tcW w:w="836"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老机房</w:t>
            </w:r>
          </w:p>
        </w:tc>
        <w:tc>
          <w:tcPr>
            <w:tcW w:w="1071"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auto"/>
                <w:kern w:val="0"/>
                <w:sz w:val="22"/>
                <w:szCs w:val="22"/>
                <w:lang w:val="en-US" w:eastAsia="zh-CN"/>
              </w:rPr>
            </w:pPr>
          </w:p>
        </w:tc>
      </w:tr>
      <w:tr>
        <w:tblPrEx>
          <w:shd w:val="clear" w:color="auto" w:fill="FFFFFF" w:themeFill="background1"/>
          <w:tblCellMar>
            <w:top w:w="0" w:type="dxa"/>
            <w:left w:w="108" w:type="dxa"/>
            <w:bottom w:w="0" w:type="dxa"/>
            <w:right w:w="108" w:type="dxa"/>
          </w:tblCellMar>
        </w:tblPrEx>
        <w:trPr>
          <w:trHeight w:val="285" w:hRule="atLeast"/>
        </w:trPr>
        <w:tc>
          <w:tcPr>
            <w:tcW w:w="809"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H3C</w:t>
            </w:r>
          </w:p>
        </w:tc>
        <w:tc>
          <w:tcPr>
            <w:tcW w:w="1563"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H3C S5170</w:t>
            </w:r>
          </w:p>
        </w:tc>
        <w:tc>
          <w:tcPr>
            <w:tcW w:w="719"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使用</w:t>
            </w:r>
          </w:p>
        </w:tc>
        <w:tc>
          <w:tcPr>
            <w:tcW w:w="836"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老机房</w:t>
            </w:r>
          </w:p>
        </w:tc>
        <w:tc>
          <w:tcPr>
            <w:tcW w:w="1071"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auto"/>
                <w:kern w:val="0"/>
                <w:sz w:val="22"/>
                <w:szCs w:val="22"/>
                <w:lang w:val="en-US" w:eastAsia="zh-CN"/>
              </w:rPr>
            </w:pPr>
          </w:p>
        </w:tc>
      </w:tr>
      <w:tr>
        <w:tblPrEx>
          <w:shd w:val="clear" w:color="auto" w:fill="FFFFFF" w:themeFill="background1"/>
          <w:tblCellMar>
            <w:top w:w="0" w:type="dxa"/>
            <w:left w:w="108" w:type="dxa"/>
            <w:bottom w:w="0" w:type="dxa"/>
            <w:right w:w="108" w:type="dxa"/>
          </w:tblCellMar>
        </w:tblPrEx>
        <w:trPr>
          <w:trHeight w:val="285" w:hRule="atLeast"/>
        </w:trPr>
        <w:tc>
          <w:tcPr>
            <w:tcW w:w="809"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w:t>
            </w:r>
          </w:p>
        </w:tc>
        <w:tc>
          <w:tcPr>
            <w:tcW w:w="1563"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H3CS7006X</w:t>
            </w:r>
          </w:p>
        </w:tc>
        <w:tc>
          <w:tcPr>
            <w:tcW w:w="719"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836"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老机房</w:t>
            </w:r>
          </w:p>
        </w:tc>
        <w:tc>
          <w:tcPr>
            <w:tcW w:w="1071"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p>
        </w:tc>
      </w:tr>
      <w:tr>
        <w:tblPrEx>
          <w:shd w:val="clear" w:color="auto" w:fill="FFFFFF" w:themeFill="background1"/>
          <w:tblCellMar>
            <w:top w:w="0" w:type="dxa"/>
            <w:left w:w="108" w:type="dxa"/>
            <w:bottom w:w="0" w:type="dxa"/>
            <w:right w:w="108" w:type="dxa"/>
          </w:tblCellMar>
        </w:tblPrEx>
        <w:trPr>
          <w:trHeight w:val="285" w:hRule="atLeast"/>
        </w:trPr>
        <w:tc>
          <w:tcPr>
            <w:tcW w:w="809"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w:t>
            </w:r>
          </w:p>
        </w:tc>
        <w:tc>
          <w:tcPr>
            <w:tcW w:w="1563"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H3CS7006X</w:t>
            </w:r>
          </w:p>
        </w:tc>
        <w:tc>
          <w:tcPr>
            <w:tcW w:w="719"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836"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老机房</w:t>
            </w:r>
          </w:p>
        </w:tc>
        <w:tc>
          <w:tcPr>
            <w:tcW w:w="1071"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p>
        </w:tc>
      </w:tr>
      <w:tr>
        <w:tblPrEx>
          <w:shd w:val="clear" w:color="auto" w:fill="FFFFFF" w:themeFill="background1"/>
          <w:tblCellMar>
            <w:top w:w="0" w:type="dxa"/>
            <w:left w:w="108" w:type="dxa"/>
            <w:bottom w:w="0" w:type="dxa"/>
            <w:right w:w="108" w:type="dxa"/>
          </w:tblCellMar>
        </w:tblPrEx>
        <w:trPr>
          <w:trHeight w:val="285" w:hRule="atLeast"/>
        </w:trPr>
        <w:tc>
          <w:tcPr>
            <w:tcW w:w="809"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CIS</w:t>
            </w:r>
            <w:r>
              <w:rPr>
                <w:rFonts w:hint="eastAsia" w:ascii="宋体" w:hAnsi="宋体" w:eastAsia="宋体" w:cs="宋体"/>
                <w:color w:val="000000" w:themeColor="text1"/>
                <w:kern w:val="0"/>
                <w:sz w:val="22"/>
                <w:szCs w:val="22"/>
                <w:lang w:val="en-US" w:eastAsia="zh-CN"/>
                <w14:textFill>
                  <w14:solidFill>
                    <w14:schemeClr w14:val="tx1"/>
                  </w14:solidFill>
                </w14:textFill>
              </w:rPr>
              <w:t>C</w:t>
            </w:r>
            <w:r>
              <w:rPr>
                <w:rFonts w:hint="eastAsia" w:ascii="宋体" w:hAnsi="宋体" w:eastAsia="宋体" w:cs="宋体"/>
                <w:color w:val="000000" w:themeColor="text1"/>
                <w:kern w:val="0"/>
                <w:sz w:val="22"/>
                <w:szCs w:val="22"/>
                <w14:textFill>
                  <w14:solidFill>
                    <w14:schemeClr w14:val="tx1"/>
                  </w14:solidFill>
                </w14:textFill>
              </w:rPr>
              <w:t>O</w:t>
            </w:r>
          </w:p>
        </w:tc>
        <w:tc>
          <w:tcPr>
            <w:tcW w:w="1563"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思科S4503</w:t>
            </w:r>
          </w:p>
        </w:tc>
        <w:tc>
          <w:tcPr>
            <w:tcW w:w="719"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836"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老机房</w:t>
            </w:r>
          </w:p>
        </w:tc>
        <w:tc>
          <w:tcPr>
            <w:tcW w:w="1071"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p>
        </w:tc>
      </w:tr>
      <w:tr>
        <w:tblPrEx>
          <w:shd w:val="clear" w:color="auto" w:fill="FFFFFF" w:themeFill="background1"/>
          <w:tblCellMar>
            <w:top w:w="0" w:type="dxa"/>
            <w:left w:w="108" w:type="dxa"/>
            <w:bottom w:w="0" w:type="dxa"/>
            <w:right w:w="108" w:type="dxa"/>
          </w:tblCellMar>
        </w:tblPrEx>
        <w:trPr>
          <w:trHeight w:val="285" w:hRule="atLeast"/>
        </w:trPr>
        <w:tc>
          <w:tcPr>
            <w:tcW w:w="809"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w:t>
            </w:r>
          </w:p>
        </w:tc>
        <w:tc>
          <w:tcPr>
            <w:tcW w:w="1563"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 S6520</w:t>
            </w:r>
          </w:p>
        </w:tc>
        <w:tc>
          <w:tcPr>
            <w:tcW w:w="719"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836"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老机房</w:t>
            </w:r>
          </w:p>
        </w:tc>
        <w:tc>
          <w:tcPr>
            <w:tcW w:w="1071"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p>
        </w:tc>
      </w:tr>
      <w:tr>
        <w:tblPrEx>
          <w:shd w:val="clear" w:color="auto" w:fill="FFFFFF" w:themeFill="background1"/>
          <w:tblCellMar>
            <w:top w:w="0" w:type="dxa"/>
            <w:left w:w="108" w:type="dxa"/>
            <w:bottom w:w="0" w:type="dxa"/>
            <w:right w:w="108" w:type="dxa"/>
          </w:tblCellMar>
        </w:tblPrEx>
        <w:trPr>
          <w:trHeight w:val="285" w:hRule="atLeast"/>
        </w:trPr>
        <w:tc>
          <w:tcPr>
            <w:tcW w:w="809"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w:t>
            </w:r>
          </w:p>
        </w:tc>
        <w:tc>
          <w:tcPr>
            <w:tcW w:w="1563"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 S5120V3</w:t>
            </w:r>
          </w:p>
        </w:tc>
        <w:tc>
          <w:tcPr>
            <w:tcW w:w="719"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836"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老机房</w:t>
            </w:r>
          </w:p>
        </w:tc>
        <w:tc>
          <w:tcPr>
            <w:tcW w:w="1071" w:type="pct"/>
            <w:tcBorders>
              <w:top w:val="single" w:color="auto" w:sz="4" w:space="0"/>
              <w:left w:val="single" w:color="auto" w:sz="4" w:space="0"/>
              <w:bottom w:val="single" w:color="auto" w:sz="4" w:space="0"/>
              <w:right w:val="single" w:color="auto" w:sz="4" w:space="0"/>
            </w:tcBorders>
            <w:shd w:val="clear" w:color="auto"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p>
        </w:tc>
      </w:tr>
    </w:tbl>
    <w:p>
      <w:pPr>
        <w:ind w:firstLine="420" w:firstLineChars="200"/>
        <w:rPr>
          <w:rFonts w:hint="eastAsia" w:ascii="宋体" w:hAnsi="宋体" w:eastAsia="宋体" w:cs="宋体"/>
          <w:color w:val="000000" w:themeColor="text1"/>
          <w14:textFill>
            <w14:solidFill>
              <w14:schemeClr w14:val="tx1"/>
            </w14:solidFill>
          </w14:textFill>
        </w:rPr>
      </w:pPr>
    </w:p>
    <w:tbl>
      <w:tblPr>
        <w:tblStyle w:val="29"/>
        <w:tblW w:w="5099" w:type="pct"/>
        <w:tblInd w:w="-228" w:type="dxa"/>
        <w:tblLayout w:type="fixed"/>
        <w:tblCellMar>
          <w:top w:w="0" w:type="dxa"/>
          <w:left w:w="108" w:type="dxa"/>
          <w:bottom w:w="0" w:type="dxa"/>
          <w:right w:w="108" w:type="dxa"/>
        </w:tblCellMar>
      </w:tblPr>
      <w:tblGrid>
        <w:gridCol w:w="1526"/>
        <w:gridCol w:w="3100"/>
        <w:gridCol w:w="2957"/>
        <w:gridCol w:w="2114"/>
      </w:tblGrid>
      <w:tr>
        <w:tblPrEx>
          <w:tblCellMar>
            <w:top w:w="0" w:type="dxa"/>
            <w:left w:w="108" w:type="dxa"/>
            <w:bottom w:w="0" w:type="dxa"/>
            <w:right w:w="108" w:type="dxa"/>
          </w:tblCellMar>
        </w:tblPrEx>
        <w:trPr>
          <w:trHeight w:val="285" w:hRule="atLeast"/>
        </w:trPr>
        <w:tc>
          <w:tcPr>
            <w:tcW w:w="78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b/>
                <w:bCs/>
                <w:color w:val="000000" w:themeColor="text1"/>
                <w:kern w:val="0"/>
                <w:sz w:val="22"/>
                <w:szCs w:val="22"/>
                <w14:textFill>
                  <w14:solidFill>
                    <w14:schemeClr w14:val="tx1"/>
                  </w14:solidFill>
                </w14:textFill>
              </w:rPr>
            </w:pPr>
            <w:r>
              <w:rPr>
                <w:rFonts w:hint="eastAsia" w:ascii="宋体" w:hAnsi="宋体" w:eastAsia="宋体" w:cs="宋体"/>
                <w:b/>
                <w:bCs/>
                <w:color w:val="000000" w:themeColor="text1"/>
                <w:kern w:val="0"/>
                <w:sz w:val="22"/>
                <w:szCs w:val="22"/>
                <w14:textFill>
                  <w14:solidFill>
                    <w14:schemeClr w14:val="tx1"/>
                  </w14:solidFill>
                </w14:textFill>
              </w:rPr>
              <w:t>品牌</w:t>
            </w:r>
          </w:p>
        </w:tc>
        <w:tc>
          <w:tcPr>
            <w:tcW w:w="1598"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b/>
                <w:bCs/>
                <w:color w:val="000000" w:themeColor="text1"/>
                <w:kern w:val="0"/>
                <w:sz w:val="22"/>
                <w:szCs w:val="22"/>
                <w14:textFill>
                  <w14:solidFill>
                    <w14:schemeClr w14:val="tx1"/>
                  </w14:solidFill>
                </w14:textFill>
              </w:rPr>
            </w:pPr>
            <w:r>
              <w:rPr>
                <w:rFonts w:hint="eastAsia" w:ascii="宋体" w:hAnsi="宋体" w:eastAsia="宋体" w:cs="宋体"/>
                <w:b/>
                <w:bCs/>
                <w:color w:val="000000" w:themeColor="text1"/>
                <w:kern w:val="0"/>
                <w:sz w:val="22"/>
                <w:szCs w:val="22"/>
                <w14:textFill>
                  <w14:solidFill>
                    <w14:schemeClr w14:val="tx1"/>
                  </w14:solidFill>
                </w14:textFill>
              </w:rPr>
              <w:t>型号</w:t>
            </w:r>
          </w:p>
        </w:tc>
        <w:tc>
          <w:tcPr>
            <w:tcW w:w="1524"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b/>
                <w:bCs/>
                <w:color w:val="000000" w:themeColor="text1"/>
                <w:kern w:val="0"/>
                <w:sz w:val="22"/>
                <w:szCs w:val="22"/>
                <w14:textFill>
                  <w14:solidFill>
                    <w14:schemeClr w14:val="tx1"/>
                  </w14:solidFill>
                </w14:textFill>
              </w:rPr>
            </w:pPr>
            <w:r>
              <w:rPr>
                <w:rFonts w:hint="eastAsia" w:ascii="宋体" w:hAnsi="宋体" w:eastAsia="宋体" w:cs="宋体"/>
                <w:b/>
                <w:bCs/>
                <w:color w:val="000000" w:themeColor="text1"/>
                <w:kern w:val="0"/>
                <w:sz w:val="22"/>
                <w:szCs w:val="22"/>
                <w14:textFill>
                  <w14:solidFill>
                    <w14:schemeClr w14:val="tx1"/>
                  </w14:solidFill>
                </w14:textFill>
              </w:rPr>
              <w:t>状态</w:t>
            </w:r>
          </w:p>
        </w:tc>
        <w:tc>
          <w:tcPr>
            <w:tcW w:w="109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b/>
                <w:bCs/>
                <w:color w:val="000000" w:themeColor="text1"/>
                <w:kern w:val="0"/>
                <w:sz w:val="22"/>
                <w:szCs w:val="22"/>
                <w14:textFill>
                  <w14:solidFill>
                    <w14:schemeClr w14:val="tx1"/>
                  </w14:solidFill>
                </w14:textFill>
              </w:rPr>
            </w:pPr>
            <w:r>
              <w:rPr>
                <w:rFonts w:hint="eastAsia" w:ascii="宋体" w:hAnsi="宋体" w:eastAsia="宋体" w:cs="宋体"/>
                <w:b/>
                <w:bCs/>
                <w:color w:val="000000" w:themeColor="text1"/>
                <w:kern w:val="0"/>
                <w:sz w:val="22"/>
                <w:szCs w:val="22"/>
                <w14:textFill>
                  <w14:solidFill>
                    <w14:schemeClr w14:val="tx1"/>
                  </w14:solidFill>
                </w14:textFill>
              </w:rPr>
              <w:t>机房</w:t>
            </w:r>
          </w:p>
        </w:tc>
      </w:tr>
      <w:tr>
        <w:tblPrEx>
          <w:tblCellMar>
            <w:top w:w="0" w:type="dxa"/>
            <w:left w:w="108" w:type="dxa"/>
            <w:bottom w:w="0" w:type="dxa"/>
            <w:right w:w="108" w:type="dxa"/>
          </w:tblCellMar>
        </w:tblPrEx>
        <w:trPr>
          <w:trHeight w:val="285" w:hRule="atLeast"/>
        </w:trPr>
        <w:tc>
          <w:tcPr>
            <w:tcW w:w="78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w:t>
            </w:r>
          </w:p>
        </w:tc>
        <w:tc>
          <w:tcPr>
            <w:tcW w:w="1598"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 S1216</w:t>
            </w:r>
          </w:p>
        </w:tc>
        <w:tc>
          <w:tcPr>
            <w:tcW w:w="1524"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r>
        <w:tblPrEx>
          <w:tblCellMar>
            <w:top w:w="0" w:type="dxa"/>
            <w:left w:w="108" w:type="dxa"/>
            <w:bottom w:w="0" w:type="dxa"/>
            <w:right w:w="108" w:type="dxa"/>
          </w:tblCellMar>
        </w:tblPrEx>
        <w:trPr>
          <w:trHeight w:val="285" w:hRule="atLeast"/>
        </w:trPr>
        <w:tc>
          <w:tcPr>
            <w:tcW w:w="78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Brocade</w:t>
            </w:r>
          </w:p>
        </w:tc>
        <w:tc>
          <w:tcPr>
            <w:tcW w:w="1598"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Brocade G610B 82.38</w:t>
            </w:r>
          </w:p>
        </w:tc>
        <w:tc>
          <w:tcPr>
            <w:tcW w:w="1524"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r>
        <w:tblPrEx>
          <w:tblCellMar>
            <w:top w:w="0" w:type="dxa"/>
            <w:left w:w="108" w:type="dxa"/>
            <w:bottom w:w="0" w:type="dxa"/>
            <w:right w:w="108" w:type="dxa"/>
          </w:tblCellMar>
        </w:tblPrEx>
        <w:trPr>
          <w:trHeight w:val="285" w:hRule="atLeast"/>
        </w:trPr>
        <w:tc>
          <w:tcPr>
            <w:tcW w:w="78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w:t>
            </w:r>
          </w:p>
        </w:tc>
        <w:tc>
          <w:tcPr>
            <w:tcW w:w="1598"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 S6520</w:t>
            </w:r>
          </w:p>
        </w:tc>
        <w:tc>
          <w:tcPr>
            <w:tcW w:w="1524"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r>
        <w:tblPrEx>
          <w:tblCellMar>
            <w:top w:w="0" w:type="dxa"/>
            <w:left w:w="108" w:type="dxa"/>
            <w:bottom w:w="0" w:type="dxa"/>
            <w:right w:w="108" w:type="dxa"/>
          </w:tblCellMar>
        </w:tblPrEx>
        <w:trPr>
          <w:trHeight w:val="285" w:hRule="atLeast"/>
        </w:trPr>
        <w:tc>
          <w:tcPr>
            <w:tcW w:w="78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Brocade</w:t>
            </w:r>
          </w:p>
        </w:tc>
        <w:tc>
          <w:tcPr>
            <w:tcW w:w="1598"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Brocade G610B 82.38</w:t>
            </w:r>
          </w:p>
        </w:tc>
        <w:tc>
          <w:tcPr>
            <w:tcW w:w="1524"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r>
        <w:tblPrEx>
          <w:tblCellMar>
            <w:top w:w="0" w:type="dxa"/>
            <w:left w:w="108" w:type="dxa"/>
            <w:bottom w:w="0" w:type="dxa"/>
            <w:right w:w="108" w:type="dxa"/>
          </w:tblCellMar>
        </w:tblPrEx>
        <w:trPr>
          <w:trHeight w:val="285" w:hRule="atLeast"/>
        </w:trPr>
        <w:tc>
          <w:tcPr>
            <w:tcW w:w="78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w:t>
            </w:r>
          </w:p>
        </w:tc>
        <w:tc>
          <w:tcPr>
            <w:tcW w:w="1598"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 S6520</w:t>
            </w:r>
          </w:p>
        </w:tc>
        <w:tc>
          <w:tcPr>
            <w:tcW w:w="1524"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r>
        <w:tblPrEx>
          <w:tblCellMar>
            <w:top w:w="0" w:type="dxa"/>
            <w:left w:w="108" w:type="dxa"/>
            <w:bottom w:w="0" w:type="dxa"/>
            <w:right w:w="108" w:type="dxa"/>
          </w:tblCellMar>
        </w:tblPrEx>
        <w:trPr>
          <w:trHeight w:val="285" w:hRule="atLeast"/>
        </w:trPr>
        <w:tc>
          <w:tcPr>
            <w:tcW w:w="78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w:t>
            </w:r>
          </w:p>
        </w:tc>
        <w:tc>
          <w:tcPr>
            <w:tcW w:w="1598"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 xml:space="preserve">H3C S6520 </w:t>
            </w:r>
          </w:p>
        </w:tc>
        <w:tc>
          <w:tcPr>
            <w:tcW w:w="1524"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r>
        <w:tblPrEx>
          <w:tblCellMar>
            <w:top w:w="0" w:type="dxa"/>
            <w:left w:w="108" w:type="dxa"/>
            <w:bottom w:w="0" w:type="dxa"/>
            <w:right w:w="108" w:type="dxa"/>
          </w:tblCellMar>
        </w:tblPrEx>
        <w:trPr>
          <w:trHeight w:val="285" w:hRule="atLeast"/>
        </w:trPr>
        <w:tc>
          <w:tcPr>
            <w:tcW w:w="78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w:t>
            </w:r>
          </w:p>
        </w:tc>
        <w:tc>
          <w:tcPr>
            <w:tcW w:w="1598"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 xml:space="preserve">H3C S6520 </w:t>
            </w:r>
          </w:p>
        </w:tc>
        <w:tc>
          <w:tcPr>
            <w:tcW w:w="1524"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r>
        <w:tblPrEx>
          <w:tblCellMar>
            <w:top w:w="0" w:type="dxa"/>
            <w:left w:w="108" w:type="dxa"/>
            <w:bottom w:w="0" w:type="dxa"/>
            <w:right w:w="108" w:type="dxa"/>
          </w:tblCellMar>
        </w:tblPrEx>
        <w:trPr>
          <w:trHeight w:val="285" w:hRule="atLeast"/>
        </w:trPr>
        <w:tc>
          <w:tcPr>
            <w:tcW w:w="78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w:t>
            </w:r>
          </w:p>
        </w:tc>
        <w:tc>
          <w:tcPr>
            <w:tcW w:w="1598"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 xml:space="preserve">H3C S6520 </w:t>
            </w:r>
          </w:p>
        </w:tc>
        <w:tc>
          <w:tcPr>
            <w:tcW w:w="1524"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r>
        <w:tblPrEx>
          <w:tblCellMar>
            <w:top w:w="0" w:type="dxa"/>
            <w:left w:w="108" w:type="dxa"/>
            <w:bottom w:w="0" w:type="dxa"/>
            <w:right w:w="108" w:type="dxa"/>
          </w:tblCellMar>
        </w:tblPrEx>
        <w:trPr>
          <w:trHeight w:val="285" w:hRule="atLeast"/>
        </w:trPr>
        <w:tc>
          <w:tcPr>
            <w:tcW w:w="78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w:t>
            </w:r>
          </w:p>
        </w:tc>
        <w:tc>
          <w:tcPr>
            <w:tcW w:w="1598"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 xml:space="preserve">H3C S6520 </w:t>
            </w:r>
          </w:p>
        </w:tc>
        <w:tc>
          <w:tcPr>
            <w:tcW w:w="1524"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r>
        <w:tblPrEx>
          <w:tblCellMar>
            <w:top w:w="0" w:type="dxa"/>
            <w:left w:w="108" w:type="dxa"/>
            <w:bottom w:w="0" w:type="dxa"/>
            <w:right w:w="108" w:type="dxa"/>
          </w:tblCellMar>
        </w:tblPrEx>
        <w:trPr>
          <w:trHeight w:val="285" w:hRule="atLeast"/>
        </w:trPr>
        <w:tc>
          <w:tcPr>
            <w:tcW w:w="78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w:t>
            </w:r>
          </w:p>
        </w:tc>
        <w:tc>
          <w:tcPr>
            <w:tcW w:w="1598"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 xml:space="preserve"> H3C WX-3520H</w:t>
            </w:r>
          </w:p>
        </w:tc>
        <w:tc>
          <w:tcPr>
            <w:tcW w:w="1524"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r>
        <w:tblPrEx>
          <w:tblCellMar>
            <w:top w:w="0" w:type="dxa"/>
            <w:left w:w="108" w:type="dxa"/>
            <w:bottom w:w="0" w:type="dxa"/>
            <w:right w:w="108" w:type="dxa"/>
          </w:tblCellMar>
        </w:tblPrEx>
        <w:trPr>
          <w:trHeight w:val="285" w:hRule="atLeast"/>
        </w:trPr>
        <w:tc>
          <w:tcPr>
            <w:tcW w:w="78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w:t>
            </w:r>
          </w:p>
        </w:tc>
        <w:tc>
          <w:tcPr>
            <w:tcW w:w="1598"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 xml:space="preserve"> H3C WX-3520H</w:t>
            </w:r>
          </w:p>
        </w:tc>
        <w:tc>
          <w:tcPr>
            <w:tcW w:w="1524"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r>
        <w:tblPrEx>
          <w:tblCellMar>
            <w:top w:w="0" w:type="dxa"/>
            <w:left w:w="108" w:type="dxa"/>
            <w:bottom w:w="0" w:type="dxa"/>
            <w:right w:w="108" w:type="dxa"/>
          </w:tblCellMar>
        </w:tblPrEx>
        <w:trPr>
          <w:trHeight w:val="285" w:hRule="atLeast"/>
        </w:trPr>
        <w:tc>
          <w:tcPr>
            <w:tcW w:w="78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w:t>
            </w:r>
          </w:p>
        </w:tc>
        <w:tc>
          <w:tcPr>
            <w:tcW w:w="1598"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 S10506X</w:t>
            </w:r>
          </w:p>
        </w:tc>
        <w:tc>
          <w:tcPr>
            <w:tcW w:w="1524"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r>
        <w:tblPrEx>
          <w:tblCellMar>
            <w:top w:w="0" w:type="dxa"/>
            <w:left w:w="108" w:type="dxa"/>
            <w:bottom w:w="0" w:type="dxa"/>
            <w:right w:w="108" w:type="dxa"/>
          </w:tblCellMar>
        </w:tblPrEx>
        <w:trPr>
          <w:trHeight w:val="285" w:hRule="atLeast"/>
        </w:trPr>
        <w:tc>
          <w:tcPr>
            <w:tcW w:w="78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w:t>
            </w:r>
          </w:p>
        </w:tc>
        <w:tc>
          <w:tcPr>
            <w:tcW w:w="1598"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H3C S10506X</w:t>
            </w:r>
          </w:p>
        </w:tc>
        <w:tc>
          <w:tcPr>
            <w:tcW w:w="1524"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bl>
    <w:p>
      <w:pPr>
        <w:ind w:firstLine="420" w:firstLineChars="200"/>
        <w:rPr>
          <w:rFonts w:hint="eastAsia" w:ascii="宋体" w:hAnsi="宋体" w:eastAsia="宋体" w:cs="宋体"/>
          <w:color w:val="000000" w:themeColor="text1"/>
          <w14:textFill>
            <w14:solidFill>
              <w14:schemeClr w14:val="tx1"/>
            </w14:solidFill>
          </w14:textFill>
        </w:rPr>
      </w:pPr>
    </w:p>
    <w:p>
      <w:pPr>
        <w:ind w:firstLine="422" w:firstLineChars="200"/>
        <w:rPr>
          <w:rFonts w:hint="eastAsia" w:ascii="宋体" w:hAnsi="宋体" w:eastAsia="宋体" w:cs="宋体"/>
          <w:color w:val="000000" w:themeColor="text1"/>
          <w14:textFill>
            <w14:solidFill>
              <w14:schemeClr w14:val="tx1"/>
            </w14:solidFill>
          </w14:textFill>
        </w:rPr>
      </w:pPr>
      <w:r>
        <w:rPr>
          <w:rFonts w:hint="eastAsia" w:ascii="宋体" w:hAnsi="宋体" w:eastAsia="宋体" w:cs="宋体"/>
          <w:b/>
          <w:bCs/>
          <w:color w:val="000000" w:themeColor="text1"/>
          <w14:textFill>
            <w14:solidFill>
              <w14:schemeClr w14:val="tx1"/>
            </w14:solidFill>
          </w14:textFill>
        </w:rPr>
        <w:t>存储部分</w:t>
      </w:r>
      <w:r>
        <w:rPr>
          <w:rFonts w:hint="eastAsia" w:ascii="宋体" w:hAnsi="宋体" w:eastAsia="宋体" w:cs="宋体"/>
          <w:color w:val="000000" w:themeColor="text1"/>
          <w14:textFill>
            <w14:solidFill>
              <w14:schemeClr w14:val="tx1"/>
            </w14:solidFill>
          </w14:textFill>
        </w:rPr>
        <w:t>：</w:t>
      </w:r>
    </w:p>
    <w:tbl>
      <w:tblPr>
        <w:tblStyle w:val="29"/>
        <w:tblW w:w="5097" w:type="pct"/>
        <w:tblInd w:w="-217" w:type="dxa"/>
        <w:tblLayout w:type="autofit"/>
        <w:tblCellMar>
          <w:top w:w="0" w:type="dxa"/>
          <w:left w:w="108" w:type="dxa"/>
          <w:bottom w:w="0" w:type="dxa"/>
          <w:right w:w="108" w:type="dxa"/>
        </w:tblCellMar>
      </w:tblPr>
      <w:tblGrid>
        <w:gridCol w:w="1499"/>
        <w:gridCol w:w="3128"/>
        <w:gridCol w:w="2940"/>
        <w:gridCol w:w="2125"/>
      </w:tblGrid>
      <w:tr>
        <w:tblPrEx>
          <w:tblCellMar>
            <w:top w:w="0" w:type="dxa"/>
            <w:left w:w="108" w:type="dxa"/>
            <w:bottom w:w="0" w:type="dxa"/>
            <w:right w:w="108" w:type="dxa"/>
          </w:tblCellMar>
        </w:tblPrEx>
        <w:trPr>
          <w:trHeight w:val="285" w:hRule="atLeast"/>
        </w:trPr>
        <w:tc>
          <w:tcPr>
            <w:tcW w:w="773"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b/>
                <w:bCs/>
                <w:color w:val="000000" w:themeColor="text1"/>
                <w:kern w:val="0"/>
                <w:sz w:val="22"/>
                <w:szCs w:val="22"/>
                <w14:textFill>
                  <w14:solidFill>
                    <w14:schemeClr w14:val="tx1"/>
                  </w14:solidFill>
                </w14:textFill>
              </w:rPr>
            </w:pPr>
            <w:r>
              <w:rPr>
                <w:rFonts w:hint="eastAsia" w:ascii="宋体" w:hAnsi="宋体" w:eastAsia="宋体" w:cs="宋体"/>
                <w:b/>
                <w:bCs/>
                <w:color w:val="000000" w:themeColor="text1"/>
                <w:kern w:val="0"/>
                <w:sz w:val="22"/>
                <w:szCs w:val="22"/>
                <w14:textFill>
                  <w14:solidFill>
                    <w14:schemeClr w14:val="tx1"/>
                  </w14:solidFill>
                </w14:textFill>
              </w:rPr>
              <w:t>品牌</w:t>
            </w:r>
          </w:p>
        </w:tc>
        <w:tc>
          <w:tcPr>
            <w:tcW w:w="1613"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b/>
                <w:bCs/>
                <w:color w:val="000000" w:themeColor="text1"/>
                <w:kern w:val="0"/>
                <w:sz w:val="22"/>
                <w:szCs w:val="22"/>
                <w14:textFill>
                  <w14:solidFill>
                    <w14:schemeClr w14:val="tx1"/>
                  </w14:solidFill>
                </w14:textFill>
              </w:rPr>
            </w:pPr>
            <w:r>
              <w:rPr>
                <w:rFonts w:hint="eastAsia" w:ascii="宋体" w:hAnsi="宋体" w:eastAsia="宋体" w:cs="宋体"/>
                <w:b/>
                <w:bCs/>
                <w:color w:val="000000" w:themeColor="text1"/>
                <w:kern w:val="0"/>
                <w:sz w:val="22"/>
                <w:szCs w:val="22"/>
                <w14:textFill>
                  <w14:solidFill>
                    <w14:schemeClr w14:val="tx1"/>
                  </w14:solidFill>
                </w14:textFill>
              </w:rPr>
              <w:t>型号</w:t>
            </w:r>
          </w:p>
        </w:tc>
        <w:tc>
          <w:tcPr>
            <w:tcW w:w="151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b/>
                <w:bCs/>
                <w:color w:val="000000" w:themeColor="text1"/>
                <w:kern w:val="0"/>
                <w:sz w:val="22"/>
                <w:szCs w:val="22"/>
                <w14:textFill>
                  <w14:solidFill>
                    <w14:schemeClr w14:val="tx1"/>
                  </w14:solidFill>
                </w14:textFill>
              </w:rPr>
            </w:pPr>
            <w:r>
              <w:rPr>
                <w:rFonts w:hint="eastAsia" w:ascii="宋体" w:hAnsi="宋体" w:eastAsia="宋体" w:cs="宋体"/>
                <w:b/>
                <w:bCs/>
                <w:color w:val="000000" w:themeColor="text1"/>
                <w:kern w:val="0"/>
                <w:sz w:val="22"/>
                <w:szCs w:val="22"/>
                <w14:textFill>
                  <w14:solidFill>
                    <w14:schemeClr w14:val="tx1"/>
                  </w14:solidFill>
                </w14:textFill>
              </w:rPr>
              <w:t>状态</w:t>
            </w:r>
          </w:p>
        </w:tc>
        <w:tc>
          <w:tcPr>
            <w:tcW w:w="109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b/>
                <w:bCs/>
                <w:color w:val="000000" w:themeColor="text1"/>
                <w:kern w:val="0"/>
                <w:sz w:val="22"/>
                <w:szCs w:val="22"/>
                <w14:textFill>
                  <w14:solidFill>
                    <w14:schemeClr w14:val="tx1"/>
                  </w14:solidFill>
                </w14:textFill>
              </w:rPr>
            </w:pPr>
            <w:r>
              <w:rPr>
                <w:rFonts w:hint="eastAsia" w:ascii="宋体" w:hAnsi="宋体" w:eastAsia="宋体" w:cs="宋体"/>
                <w:b/>
                <w:bCs/>
                <w:color w:val="000000" w:themeColor="text1"/>
                <w:kern w:val="0"/>
                <w:sz w:val="22"/>
                <w:szCs w:val="22"/>
                <w14:textFill>
                  <w14:solidFill>
                    <w14:schemeClr w14:val="tx1"/>
                  </w14:solidFill>
                </w14:textFill>
              </w:rPr>
              <w:t>机房</w:t>
            </w:r>
          </w:p>
        </w:tc>
      </w:tr>
      <w:tr>
        <w:tblPrEx>
          <w:tblCellMar>
            <w:top w:w="0" w:type="dxa"/>
            <w:left w:w="108" w:type="dxa"/>
            <w:bottom w:w="0" w:type="dxa"/>
            <w:right w:w="108" w:type="dxa"/>
          </w:tblCellMar>
        </w:tblPrEx>
        <w:trPr>
          <w:trHeight w:val="285" w:hRule="atLeast"/>
        </w:trPr>
        <w:tc>
          <w:tcPr>
            <w:tcW w:w="773"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HPE</w:t>
            </w:r>
          </w:p>
        </w:tc>
        <w:tc>
          <w:tcPr>
            <w:tcW w:w="1613"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HPE G630</w:t>
            </w:r>
          </w:p>
        </w:tc>
        <w:tc>
          <w:tcPr>
            <w:tcW w:w="151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r>
        <w:trPr>
          <w:trHeight w:val="285" w:hRule="atLeast"/>
        </w:trPr>
        <w:tc>
          <w:tcPr>
            <w:tcW w:w="773"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HPE</w:t>
            </w:r>
          </w:p>
        </w:tc>
        <w:tc>
          <w:tcPr>
            <w:tcW w:w="1613"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HPE G630</w:t>
            </w:r>
          </w:p>
        </w:tc>
        <w:tc>
          <w:tcPr>
            <w:tcW w:w="151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r>
        <w:tblPrEx>
          <w:tblCellMar>
            <w:top w:w="0" w:type="dxa"/>
            <w:left w:w="108" w:type="dxa"/>
            <w:bottom w:w="0" w:type="dxa"/>
            <w:right w:w="108" w:type="dxa"/>
          </w:tblCellMar>
        </w:tblPrEx>
        <w:trPr>
          <w:trHeight w:val="285" w:hRule="atLeast"/>
        </w:trPr>
        <w:tc>
          <w:tcPr>
            <w:tcW w:w="773"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HPE</w:t>
            </w:r>
          </w:p>
        </w:tc>
        <w:tc>
          <w:tcPr>
            <w:tcW w:w="1613"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HPE G630</w:t>
            </w:r>
          </w:p>
        </w:tc>
        <w:tc>
          <w:tcPr>
            <w:tcW w:w="151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r>
        <w:tblPrEx>
          <w:tblCellMar>
            <w:top w:w="0" w:type="dxa"/>
            <w:left w:w="108" w:type="dxa"/>
            <w:bottom w:w="0" w:type="dxa"/>
            <w:right w:w="108" w:type="dxa"/>
          </w:tblCellMar>
        </w:tblPrEx>
        <w:trPr>
          <w:trHeight w:val="285" w:hRule="atLeast"/>
        </w:trPr>
        <w:tc>
          <w:tcPr>
            <w:tcW w:w="773"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HPE</w:t>
            </w:r>
          </w:p>
        </w:tc>
        <w:tc>
          <w:tcPr>
            <w:tcW w:w="1613"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HPE G630</w:t>
            </w:r>
          </w:p>
        </w:tc>
        <w:tc>
          <w:tcPr>
            <w:tcW w:w="151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09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新机房</w:t>
            </w:r>
          </w:p>
        </w:tc>
      </w:tr>
    </w:tbl>
    <w:p>
      <w:pPr>
        <w:ind w:firstLine="420" w:firstLineChars="200"/>
        <w:rPr>
          <w:rFonts w:hint="eastAsia" w:ascii="宋体" w:hAnsi="宋体" w:eastAsia="宋体" w:cs="宋体"/>
          <w:color w:val="000000" w:themeColor="text1"/>
          <w14:textFill>
            <w14:solidFill>
              <w14:schemeClr w14:val="tx1"/>
            </w14:solidFill>
          </w14:textFill>
        </w:rPr>
      </w:pPr>
    </w:p>
    <w:tbl>
      <w:tblPr>
        <w:tblStyle w:val="29"/>
        <w:tblW w:w="5104" w:type="pct"/>
        <w:tblInd w:w="-188" w:type="dxa"/>
        <w:tblLayout w:type="fixed"/>
        <w:tblCellMar>
          <w:top w:w="0" w:type="dxa"/>
          <w:left w:w="108" w:type="dxa"/>
          <w:bottom w:w="0" w:type="dxa"/>
          <w:right w:w="108" w:type="dxa"/>
        </w:tblCellMar>
      </w:tblPr>
      <w:tblGrid>
        <w:gridCol w:w="1457"/>
        <w:gridCol w:w="3986"/>
        <w:gridCol w:w="1585"/>
        <w:gridCol w:w="2679"/>
      </w:tblGrid>
      <w:tr>
        <w:tblPrEx>
          <w:tblCellMar>
            <w:top w:w="0" w:type="dxa"/>
            <w:left w:w="108" w:type="dxa"/>
            <w:bottom w:w="0" w:type="dxa"/>
            <w:right w:w="108" w:type="dxa"/>
          </w:tblCellMar>
        </w:tblPrEx>
        <w:trPr>
          <w:trHeight w:val="285" w:hRule="atLeast"/>
        </w:trPr>
        <w:tc>
          <w:tcPr>
            <w:tcW w:w="75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b/>
                <w:bCs/>
                <w:color w:val="000000" w:themeColor="text1"/>
                <w:kern w:val="0"/>
                <w:sz w:val="22"/>
                <w:szCs w:val="22"/>
                <w14:textFill>
                  <w14:solidFill>
                    <w14:schemeClr w14:val="tx1"/>
                  </w14:solidFill>
                </w14:textFill>
              </w:rPr>
            </w:pPr>
            <w:r>
              <w:rPr>
                <w:rFonts w:hint="eastAsia" w:ascii="宋体" w:hAnsi="宋体" w:eastAsia="宋体" w:cs="宋体"/>
                <w:b/>
                <w:bCs/>
                <w:color w:val="000000" w:themeColor="text1"/>
                <w:kern w:val="0"/>
                <w:sz w:val="22"/>
                <w:szCs w:val="22"/>
                <w14:textFill>
                  <w14:solidFill>
                    <w14:schemeClr w14:val="tx1"/>
                  </w14:solidFill>
                </w14:textFill>
              </w:rPr>
              <w:t>品牌</w:t>
            </w:r>
          </w:p>
        </w:tc>
        <w:tc>
          <w:tcPr>
            <w:tcW w:w="2053"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b/>
                <w:bCs/>
                <w:color w:val="000000" w:themeColor="text1"/>
                <w:kern w:val="0"/>
                <w:sz w:val="22"/>
                <w:szCs w:val="22"/>
                <w14:textFill>
                  <w14:solidFill>
                    <w14:schemeClr w14:val="tx1"/>
                  </w14:solidFill>
                </w14:textFill>
              </w:rPr>
            </w:pPr>
            <w:r>
              <w:rPr>
                <w:rFonts w:hint="eastAsia" w:ascii="宋体" w:hAnsi="宋体" w:eastAsia="宋体" w:cs="宋体"/>
                <w:b/>
                <w:bCs/>
                <w:color w:val="000000" w:themeColor="text1"/>
                <w:kern w:val="0"/>
                <w:sz w:val="22"/>
                <w:szCs w:val="22"/>
                <w14:textFill>
                  <w14:solidFill>
                    <w14:schemeClr w14:val="tx1"/>
                  </w14:solidFill>
                </w14:textFill>
              </w:rPr>
              <w:t>型号</w:t>
            </w:r>
          </w:p>
        </w:tc>
        <w:tc>
          <w:tcPr>
            <w:tcW w:w="81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b/>
                <w:bCs/>
                <w:color w:val="000000" w:themeColor="text1"/>
                <w:kern w:val="0"/>
                <w:sz w:val="22"/>
                <w:szCs w:val="22"/>
                <w14:textFill>
                  <w14:solidFill>
                    <w14:schemeClr w14:val="tx1"/>
                  </w14:solidFill>
                </w14:textFill>
              </w:rPr>
            </w:pPr>
            <w:r>
              <w:rPr>
                <w:rFonts w:hint="eastAsia" w:ascii="宋体" w:hAnsi="宋体" w:eastAsia="宋体" w:cs="宋体"/>
                <w:b/>
                <w:bCs/>
                <w:color w:val="000000" w:themeColor="text1"/>
                <w:kern w:val="0"/>
                <w:sz w:val="22"/>
                <w:szCs w:val="22"/>
                <w14:textFill>
                  <w14:solidFill>
                    <w14:schemeClr w14:val="tx1"/>
                  </w14:solidFill>
                </w14:textFill>
              </w:rPr>
              <w:t>状态</w:t>
            </w:r>
          </w:p>
        </w:tc>
        <w:tc>
          <w:tcPr>
            <w:tcW w:w="1379"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b/>
                <w:bCs/>
                <w:color w:val="000000" w:themeColor="text1"/>
                <w:kern w:val="0"/>
                <w:sz w:val="22"/>
                <w:szCs w:val="22"/>
                <w14:textFill>
                  <w14:solidFill>
                    <w14:schemeClr w14:val="tx1"/>
                  </w14:solidFill>
                </w14:textFill>
              </w:rPr>
            </w:pPr>
            <w:r>
              <w:rPr>
                <w:rFonts w:hint="eastAsia" w:ascii="宋体" w:hAnsi="宋体" w:eastAsia="宋体" w:cs="宋体"/>
                <w:b/>
                <w:bCs/>
                <w:color w:val="000000" w:themeColor="text1"/>
                <w:kern w:val="0"/>
                <w:sz w:val="22"/>
                <w:szCs w:val="22"/>
                <w14:textFill>
                  <w14:solidFill>
                    <w14:schemeClr w14:val="tx1"/>
                  </w14:solidFill>
                </w14:textFill>
              </w:rPr>
              <w:t>机房</w:t>
            </w:r>
          </w:p>
        </w:tc>
      </w:tr>
      <w:tr>
        <w:tblPrEx>
          <w:tblCellMar>
            <w:top w:w="0" w:type="dxa"/>
            <w:left w:w="108" w:type="dxa"/>
            <w:bottom w:w="0" w:type="dxa"/>
            <w:right w:w="108" w:type="dxa"/>
          </w:tblCellMar>
        </w:tblPrEx>
        <w:trPr>
          <w:trHeight w:val="90" w:hRule="atLeast"/>
        </w:trPr>
        <w:tc>
          <w:tcPr>
            <w:tcW w:w="75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DELL</w:t>
            </w:r>
          </w:p>
        </w:tc>
        <w:tc>
          <w:tcPr>
            <w:tcW w:w="2053"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DELL 硬盘存储</w:t>
            </w:r>
            <w:r>
              <w:rPr>
                <w:rFonts w:hint="eastAsia" w:ascii="宋体" w:hAnsi="宋体" w:eastAsia="宋体" w:cs="宋体"/>
                <w:b/>
                <w:bCs/>
                <w:color w:val="000000" w:themeColor="text1"/>
                <w:sz w:val="22"/>
                <w:szCs w:val="22"/>
                <w14:textFill>
                  <w14:solidFill>
                    <w14:schemeClr w14:val="tx1"/>
                  </w14:solidFill>
                </w14:textFill>
              </w:rPr>
              <w:t>EMC 5400存储扩展柜</w:t>
            </w:r>
            <w:r>
              <w:rPr>
                <w:rFonts w:hint="eastAsia" w:ascii="宋体" w:hAnsi="宋体" w:eastAsia="宋体" w:cs="宋体"/>
                <w:b/>
                <w:bCs/>
                <w:color w:val="000000" w:themeColor="text1"/>
                <w14:textFill>
                  <w14:solidFill>
                    <w14:schemeClr w14:val="tx1"/>
                  </w14:solidFill>
                </w14:textFill>
              </w:rPr>
              <w:tab/>
            </w:r>
            <w:r>
              <w:rPr>
                <w:rFonts w:hint="eastAsia" w:ascii="宋体" w:hAnsi="宋体" w:eastAsia="宋体" w:cs="宋体"/>
                <w:color w:val="000000" w:themeColor="text1"/>
                <w:kern w:val="0"/>
                <w:sz w:val="22"/>
                <w:szCs w:val="22"/>
                <w14:textFill>
                  <w14:solidFill>
                    <w14:schemeClr w14:val="tx1"/>
                  </w14:solidFill>
                </w14:textFill>
              </w:rPr>
              <w:t xml:space="preserve">     </w:t>
            </w:r>
          </w:p>
        </w:tc>
        <w:tc>
          <w:tcPr>
            <w:tcW w:w="81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379"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老机房</w:t>
            </w:r>
          </w:p>
        </w:tc>
      </w:tr>
      <w:tr>
        <w:tblPrEx>
          <w:tblCellMar>
            <w:top w:w="0" w:type="dxa"/>
            <w:left w:w="108" w:type="dxa"/>
            <w:bottom w:w="0" w:type="dxa"/>
            <w:right w:w="108" w:type="dxa"/>
          </w:tblCellMar>
        </w:tblPrEx>
        <w:trPr>
          <w:trHeight w:val="285" w:hRule="atLeast"/>
        </w:trPr>
        <w:tc>
          <w:tcPr>
            <w:tcW w:w="75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DELL</w:t>
            </w:r>
          </w:p>
        </w:tc>
        <w:tc>
          <w:tcPr>
            <w:tcW w:w="2053"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EMC VPLEX</w:t>
            </w:r>
          </w:p>
        </w:tc>
        <w:tc>
          <w:tcPr>
            <w:tcW w:w="81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379"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老机房</w:t>
            </w:r>
          </w:p>
        </w:tc>
      </w:tr>
      <w:tr>
        <w:tblPrEx>
          <w:tblCellMar>
            <w:top w:w="0" w:type="dxa"/>
            <w:left w:w="108" w:type="dxa"/>
            <w:bottom w:w="0" w:type="dxa"/>
            <w:right w:w="108" w:type="dxa"/>
          </w:tblCellMar>
        </w:tblPrEx>
        <w:trPr>
          <w:trHeight w:val="285" w:hRule="atLeast"/>
        </w:trPr>
        <w:tc>
          <w:tcPr>
            <w:tcW w:w="75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DELL</w:t>
            </w:r>
          </w:p>
        </w:tc>
        <w:tc>
          <w:tcPr>
            <w:tcW w:w="2053"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both"/>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EMC VNX5400</w:t>
            </w:r>
          </w:p>
        </w:tc>
        <w:tc>
          <w:tcPr>
            <w:tcW w:w="81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379"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000000" w:themeColor="text1"/>
                <w:kern w:val="0"/>
                <w:sz w:val="22"/>
                <w:szCs w:val="22"/>
                <w14:textFill>
                  <w14:solidFill>
                    <w14:schemeClr w14:val="tx1"/>
                  </w14:solidFill>
                </w14:textFill>
              </w:rPr>
            </w:pPr>
            <w:r>
              <w:rPr>
                <w:rFonts w:hint="eastAsia" w:ascii="宋体" w:hAnsi="宋体" w:eastAsia="宋体" w:cs="宋体"/>
                <w:color w:val="000000" w:themeColor="text1"/>
                <w:kern w:val="0"/>
                <w:sz w:val="22"/>
                <w:szCs w:val="22"/>
                <w14:textFill>
                  <w14:solidFill>
                    <w14:schemeClr w14:val="tx1"/>
                  </w14:solidFill>
                </w14:textFill>
              </w:rPr>
              <w:t>老机房</w:t>
            </w:r>
          </w:p>
        </w:tc>
      </w:tr>
      <w:tr>
        <w:tblPrEx>
          <w:tblCellMar>
            <w:top w:w="0" w:type="dxa"/>
            <w:left w:w="108" w:type="dxa"/>
            <w:bottom w:w="0" w:type="dxa"/>
            <w:right w:w="108" w:type="dxa"/>
          </w:tblCellMar>
        </w:tblPrEx>
        <w:trPr>
          <w:trHeight w:val="285" w:hRule="atLeast"/>
        </w:trPr>
        <w:tc>
          <w:tcPr>
            <w:tcW w:w="750"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FF0000"/>
                <w:kern w:val="0"/>
                <w:sz w:val="22"/>
                <w:szCs w:val="22"/>
                <w:lang w:val="en-US" w:eastAsia="zh-CN" w:bidi="ar-SA"/>
              </w:rPr>
            </w:pPr>
            <w:r>
              <w:rPr>
                <w:rFonts w:hint="eastAsia" w:ascii="宋体" w:hAnsi="宋体" w:cs="宋体"/>
                <w:color w:val="FF0000"/>
                <w:kern w:val="0"/>
                <w:sz w:val="22"/>
                <w:szCs w:val="22"/>
                <w:lang w:val="en-US" w:eastAsia="zh-CN"/>
              </w:rPr>
              <w:t>柏科</w:t>
            </w:r>
          </w:p>
        </w:tc>
        <w:tc>
          <w:tcPr>
            <w:tcW w:w="2053"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FF0000"/>
                <w:kern w:val="0"/>
                <w:sz w:val="22"/>
                <w:szCs w:val="22"/>
                <w:lang w:val="en-US" w:eastAsia="zh-CN" w:bidi="ar-SA"/>
              </w:rPr>
            </w:pPr>
            <w:r>
              <w:rPr>
                <w:rFonts w:hint="eastAsia" w:ascii="宋体" w:hAnsi="宋体" w:cs="宋体"/>
                <w:color w:val="FF0000"/>
                <w:kern w:val="0"/>
                <w:sz w:val="22"/>
                <w:szCs w:val="22"/>
                <w:lang w:eastAsia="zh-CN"/>
              </w:rPr>
              <w:t>备份一体机</w:t>
            </w:r>
          </w:p>
        </w:tc>
        <w:tc>
          <w:tcPr>
            <w:tcW w:w="816"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bottom"/>
          </w:tcPr>
          <w:p>
            <w:pPr>
              <w:jc w:val="center"/>
              <w:rPr>
                <w:rFonts w:hint="eastAsia" w:ascii="宋体" w:hAnsi="宋体" w:eastAsia="宋体" w:cs="宋体"/>
                <w:color w:val="FF0000"/>
                <w:kern w:val="0"/>
                <w:sz w:val="22"/>
                <w:szCs w:val="22"/>
              </w:rPr>
            </w:pPr>
            <w:r>
              <w:rPr>
                <w:rFonts w:hint="eastAsia" w:ascii="宋体" w:hAnsi="宋体" w:eastAsia="宋体" w:cs="宋体"/>
                <w:color w:val="000000" w:themeColor="text1"/>
                <w:kern w:val="0"/>
                <w:sz w:val="22"/>
                <w:szCs w:val="22"/>
                <w14:textFill>
                  <w14:solidFill>
                    <w14:schemeClr w14:val="tx1"/>
                  </w14:solidFill>
                </w14:textFill>
              </w:rPr>
              <w:t>使用</w:t>
            </w:r>
          </w:p>
        </w:tc>
        <w:tc>
          <w:tcPr>
            <w:tcW w:w="1379" w:type="pct"/>
            <w:tcBorders>
              <w:top w:val="single" w:color="auto" w:sz="4" w:space="0"/>
              <w:left w:val="single" w:color="auto" w:sz="4" w:space="0"/>
              <w:bottom w:val="single" w:color="auto" w:sz="4" w:space="0"/>
              <w:right w:val="single" w:color="auto" w:sz="4" w:space="0"/>
            </w:tcBorders>
            <w:shd w:val="clear" w:color="5B9BD5" w:fill="FFFFFF" w:themeFill="background1"/>
            <w:noWrap/>
            <w:vAlign w:val="center"/>
          </w:tcPr>
          <w:p>
            <w:pPr>
              <w:jc w:val="center"/>
              <w:rPr>
                <w:rFonts w:hint="eastAsia" w:ascii="宋体" w:hAnsi="宋体" w:eastAsia="宋体" w:cs="宋体"/>
                <w:color w:val="FF0000"/>
                <w:kern w:val="0"/>
                <w:sz w:val="22"/>
                <w:szCs w:val="22"/>
                <w:lang w:val="en-US" w:eastAsia="zh-CN"/>
              </w:rPr>
            </w:pPr>
            <w:r>
              <w:rPr>
                <w:rFonts w:hint="eastAsia" w:ascii="宋体" w:hAnsi="宋体" w:cs="宋体"/>
                <w:color w:val="FF0000"/>
                <w:kern w:val="0"/>
                <w:sz w:val="22"/>
                <w:szCs w:val="22"/>
                <w:lang w:val="en-US" w:eastAsia="zh-CN"/>
              </w:rPr>
              <w:t>新机房</w:t>
            </w:r>
          </w:p>
        </w:tc>
      </w:tr>
    </w:tbl>
    <w:p>
      <w:pPr>
        <w:rPr>
          <w:rFonts w:hint="eastAsia" w:ascii="宋体" w:hAnsi="宋体" w:eastAsia="宋体" w:cs="宋体"/>
          <w:b/>
          <w:bCs/>
          <w:sz w:val="28"/>
          <w:szCs w:val="28"/>
        </w:rPr>
      </w:pPr>
    </w:p>
    <w:p>
      <w:pPr>
        <w:rPr>
          <w:rFonts w:hint="eastAsia" w:ascii="宋体" w:hAnsi="宋体" w:eastAsia="宋体" w:cs="宋体"/>
        </w:rPr>
      </w:pPr>
    </w:p>
    <w:p>
      <w:pPr>
        <w:ind w:firstLine="422" w:firstLineChars="200"/>
        <w:rPr>
          <w:rFonts w:hint="eastAsia" w:ascii="宋体" w:hAnsi="宋体" w:eastAsia="宋体" w:cs="宋体"/>
          <w:b/>
          <w:bCs/>
        </w:rPr>
      </w:pPr>
      <w:r>
        <w:rPr>
          <w:rFonts w:hint="eastAsia" w:ascii="宋体" w:hAnsi="宋体" w:eastAsia="宋体" w:cs="宋体"/>
          <w:b/>
          <w:bCs/>
        </w:rPr>
        <w:t>井道交换机部分</w:t>
      </w:r>
    </w:p>
    <w:p>
      <w:pPr>
        <w:bidi w:val="0"/>
        <w:rPr>
          <w:rFonts w:hint="eastAsia" w:ascii="宋体" w:hAnsi="宋体" w:eastAsia="宋体" w:cs="宋体"/>
        </w:rPr>
      </w:pPr>
    </w:p>
    <w:tbl>
      <w:tblPr>
        <w:tblStyle w:val="30"/>
        <w:tblW w:w="952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11"/>
        <w:gridCol w:w="1446"/>
        <w:gridCol w:w="5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811" w:type="dxa"/>
          </w:tcPr>
          <w:p>
            <w:pPr>
              <w:widowControl w:val="0"/>
              <w:bidi w:val="0"/>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设备类型</w:t>
            </w:r>
          </w:p>
        </w:tc>
        <w:tc>
          <w:tcPr>
            <w:tcW w:w="1446" w:type="dxa"/>
          </w:tcPr>
          <w:p>
            <w:pPr>
              <w:widowControl w:val="0"/>
              <w:bidi w:val="0"/>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汇聚交换机</w:t>
            </w:r>
          </w:p>
        </w:tc>
        <w:tc>
          <w:tcPr>
            <w:tcW w:w="5268" w:type="dxa"/>
          </w:tcPr>
          <w:p>
            <w:pPr>
              <w:widowControl w:val="0"/>
              <w:bidi w:val="0"/>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接入交换机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11" w:type="dxa"/>
          </w:tcPr>
          <w:p>
            <w:pPr>
              <w:widowControl w:val="0"/>
              <w:bidi w:val="0"/>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数量总计</w:t>
            </w:r>
          </w:p>
        </w:tc>
        <w:tc>
          <w:tcPr>
            <w:tcW w:w="1446" w:type="dxa"/>
          </w:tcPr>
          <w:p>
            <w:pPr>
              <w:widowControl w:val="0"/>
              <w:bidi w:val="0"/>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21台</w:t>
            </w:r>
          </w:p>
        </w:tc>
        <w:tc>
          <w:tcPr>
            <w:tcW w:w="5268" w:type="dxa"/>
          </w:tcPr>
          <w:p>
            <w:pPr>
              <w:widowControl w:val="0"/>
              <w:bidi w:val="0"/>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48台</w:t>
            </w:r>
          </w:p>
        </w:tc>
      </w:tr>
    </w:tbl>
    <w:p>
      <w:pPr>
        <w:bidi w:val="0"/>
        <w:rPr>
          <w:rFonts w:hint="eastAsia" w:ascii="宋体" w:hAnsi="宋体" w:eastAsia="宋体" w:cs="宋体"/>
          <w:lang w:val="en-US" w:eastAsia="zh-CN"/>
        </w:rPr>
      </w:pPr>
      <w:r>
        <w:rPr>
          <w:rFonts w:hint="eastAsia" w:ascii="宋体" w:hAnsi="宋体" w:eastAsia="宋体" w:cs="宋体"/>
          <w:lang w:val="en-US" w:eastAsia="zh-CN"/>
        </w:rPr>
        <w:t>详细清单如下</w:t>
      </w:r>
    </w:p>
    <w:p>
      <w:pPr>
        <w:ind w:firstLine="422" w:firstLineChars="200"/>
        <w:rPr>
          <w:rFonts w:hint="eastAsia" w:ascii="宋体" w:hAnsi="宋体" w:eastAsia="宋体" w:cs="宋体"/>
          <w:b/>
          <w:bCs/>
        </w:rPr>
      </w:pPr>
      <w:r>
        <w:rPr>
          <w:rFonts w:hint="eastAsia" w:ascii="宋体" w:hAnsi="宋体" w:eastAsia="宋体" w:cs="宋体"/>
          <w:b/>
          <w:bCs/>
        </w:rPr>
        <w:t>外网部分</w:t>
      </w:r>
    </w:p>
    <w:p>
      <w:pPr>
        <w:bidi w:val="0"/>
        <w:rPr>
          <w:rFonts w:hint="eastAsia" w:ascii="宋体" w:hAnsi="宋体" w:eastAsia="宋体" w:cs="宋体"/>
        </w:rPr>
      </w:pPr>
    </w:p>
    <w:tbl>
      <w:tblPr>
        <w:tblStyle w:val="29"/>
        <w:tblW w:w="9554" w:type="dxa"/>
        <w:tblInd w:w="0" w:type="dxa"/>
        <w:tblLayout w:type="fixed"/>
        <w:tblCellMar>
          <w:top w:w="0" w:type="dxa"/>
          <w:left w:w="108" w:type="dxa"/>
          <w:bottom w:w="0" w:type="dxa"/>
          <w:right w:w="108" w:type="dxa"/>
        </w:tblCellMar>
      </w:tblPr>
      <w:tblGrid>
        <w:gridCol w:w="1968"/>
        <w:gridCol w:w="3129"/>
        <w:gridCol w:w="4457"/>
      </w:tblGrid>
      <w:tr>
        <w:tblPrEx>
          <w:tblCellMar>
            <w:top w:w="0" w:type="dxa"/>
            <w:left w:w="108" w:type="dxa"/>
            <w:bottom w:w="0" w:type="dxa"/>
            <w:right w:w="108" w:type="dxa"/>
          </w:tblCellMar>
        </w:tblPrEx>
        <w:trPr>
          <w:trHeight w:val="285" w:hRule="atLeast"/>
        </w:trPr>
        <w:tc>
          <w:tcPr>
            <w:tcW w:w="1968" w:type="dxa"/>
            <w:tcBorders>
              <w:top w:val="single" w:color="auto" w:sz="4" w:space="0"/>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lang w:val="en-US" w:eastAsia="zh-CN"/>
              </w:rPr>
              <w:t>设备</w:t>
            </w:r>
            <w:r>
              <w:rPr>
                <w:rFonts w:hint="eastAsia" w:ascii="宋体" w:hAnsi="宋体" w:eastAsia="宋体" w:cs="宋体"/>
                <w:color w:val="000000"/>
                <w:kern w:val="0"/>
                <w:sz w:val="22"/>
                <w:szCs w:val="22"/>
              </w:rPr>
              <w:t>名称</w:t>
            </w:r>
          </w:p>
        </w:tc>
        <w:tc>
          <w:tcPr>
            <w:tcW w:w="3129" w:type="dxa"/>
            <w:tcBorders>
              <w:top w:val="single" w:color="auto" w:sz="4" w:space="0"/>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lang w:val="en-US" w:eastAsia="zh-CN"/>
              </w:rPr>
              <w:t>设备</w:t>
            </w:r>
            <w:r>
              <w:rPr>
                <w:rFonts w:hint="eastAsia" w:ascii="宋体" w:hAnsi="宋体" w:eastAsia="宋体" w:cs="宋体"/>
                <w:color w:val="000000"/>
                <w:kern w:val="0"/>
                <w:sz w:val="22"/>
                <w:szCs w:val="22"/>
              </w:rPr>
              <w:t>型号</w:t>
            </w:r>
          </w:p>
        </w:tc>
        <w:tc>
          <w:tcPr>
            <w:tcW w:w="4457" w:type="dxa"/>
            <w:tcBorders>
              <w:top w:val="single" w:color="auto" w:sz="4" w:space="0"/>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lang w:val="en-US" w:eastAsia="zh-CN"/>
              </w:rPr>
              <w:t>设备所在</w:t>
            </w:r>
            <w:r>
              <w:rPr>
                <w:rFonts w:hint="eastAsia" w:ascii="宋体" w:hAnsi="宋体" w:eastAsia="宋体" w:cs="宋体"/>
                <w:color w:val="000000"/>
                <w:kern w:val="0"/>
                <w:sz w:val="22"/>
                <w:szCs w:val="22"/>
              </w:rPr>
              <w:t>位置</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WWHX A</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H3C-S7006X</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老机房A02</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WWHX B</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H3C-S7006X</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老机房A02</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SSL HJ</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老机房B03</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ZHL1L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综合楼1F弱电井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ZHL4L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综合楼4F弱电井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ZHL6L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综合楼6F弱电井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ZHL10L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综合楼10F弱电井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ZHL13L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综合楼13F弱电井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ZHL16L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综合楼16F弱电井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ZHL19L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综合楼19F弱电井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XZL1L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行政楼1F弱电井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XZL2L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行政楼2F弱电井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XZL3L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行政楼3F弱电井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XZL4L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行政楼4F弱电井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QY2 2L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区域2 2F弱电井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QY2 4L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区域2 4F弱电井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JSL HJ</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H3C-LS-6520-24S-SI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精神楼3F弱电井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JSLD2L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精神楼东2F弱电井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JSLD4L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精神楼东4F弱电井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JSLX2L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精神楼西2F弱电井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JSLX4L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精神楼西4F弱电井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HQL1L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后勤楼1L弱电井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SS2L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后勤楼2L弱电井</w:t>
            </w:r>
          </w:p>
        </w:tc>
      </w:tr>
      <w:tr>
        <w:tblPrEx>
          <w:tblCellMar>
            <w:top w:w="0" w:type="dxa"/>
            <w:left w:w="108" w:type="dxa"/>
            <w:bottom w:w="0" w:type="dxa"/>
            <w:right w:w="108" w:type="dxa"/>
          </w:tblCellMar>
        </w:tblPrEx>
        <w:trPr>
          <w:trHeight w:val="285" w:hRule="atLeast"/>
        </w:trPr>
        <w:tc>
          <w:tcPr>
            <w:tcW w:w="1968" w:type="dxa"/>
            <w:tcBorders>
              <w:top w:val="nil"/>
              <w:left w:val="single" w:color="auto" w:sz="4" w:space="0"/>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SS3L</w:t>
            </w:r>
          </w:p>
        </w:tc>
        <w:tc>
          <w:tcPr>
            <w:tcW w:w="3129"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H3C-LS-5120V3-52P-LI</w:t>
            </w:r>
          </w:p>
        </w:tc>
        <w:tc>
          <w:tcPr>
            <w:tcW w:w="4457" w:type="dxa"/>
            <w:tcBorders>
              <w:top w:val="nil"/>
              <w:left w:val="nil"/>
              <w:bottom w:val="single" w:color="auto" w:sz="4" w:space="0"/>
              <w:right w:val="single" w:color="auto" w:sz="4" w:space="0"/>
            </w:tcBorders>
            <w:shd w:val="clear" w:color="auto" w:fill="auto"/>
            <w:noWrap/>
            <w:vAlign w:val="bottom"/>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后勤楼3L弱电井</w:t>
            </w:r>
          </w:p>
        </w:tc>
      </w:tr>
    </w:tbl>
    <w:p>
      <w:pPr>
        <w:rPr>
          <w:rFonts w:hint="eastAsia" w:ascii="宋体" w:hAnsi="宋体" w:eastAsia="宋体" w:cs="宋体"/>
        </w:rPr>
      </w:pPr>
    </w:p>
    <w:p>
      <w:pPr>
        <w:rPr>
          <w:rFonts w:hint="eastAsia" w:ascii="宋体" w:hAnsi="宋体" w:eastAsia="宋体" w:cs="宋体"/>
          <w:b/>
          <w:bCs/>
        </w:rPr>
      </w:pPr>
      <w:r>
        <w:rPr>
          <w:rFonts w:hint="eastAsia" w:ascii="宋体" w:hAnsi="宋体" w:eastAsia="宋体" w:cs="宋体"/>
          <w:b/>
          <w:bCs/>
        </w:rPr>
        <w:t>内网部分</w:t>
      </w:r>
    </w:p>
    <w:tbl>
      <w:tblPr>
        <w:tblStyle w:val="29"/>
        <w:tblW w:w="9554" w:type="dxa"/>
        <w:tblInd w:w="0" w:type="dxa"/>
        <w:tblLayout w:type="fixed"/>
        <w:tblCellMar>
          <w:top w:w="0" w:type="dxa"/>
          <w:left w:w="108" w:type="dxa"/>
          <w:bottom w:w="0" w:type="dxa"/>
          <w:right w:w="108" w:type="dxa"/>
        </w:tblCellMar>
      </w:tblPr>
      <w:tblGrid>
        <w:gridCol w:w="2025"/>
        <w:gridCol w:w="3072"/>
        <w:gridCol w:w="4457"/>
      </w:tblGrid>
      <w:tr>
        <w:tblPrEx>
          <w:tblCellMar>
            <w:top w:w="0" w:type="dxa"/>
            <w:left w:w="108" w:type="dxa"/>
            <w:bottom w:w="0" w:type="dxa"/>
            <w:right w:w="108" w:type="dxa"/>
          </w:tblCellMar>
        </w:tblPrEx>
        <w:trPr>
          <w:trHeight w:val="285" w:hRule="atLeast"/>
        </w:trPr>
        <w:tc>
          <w:tcPr>
            <w:tcW w:w="2025" w:type="dxa"/>
            <w:tcBorders>
              <w:top w:val="single" w:color="auto" w:sz="4" w:space="0"/>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行政1楼</w:t>
            </w:r>
          </w:p>
        </w:tc>
        <w:tc>
          <w:tcPr>
            <w:tcW w:w="3072" w:type="dxa"/>
            <w:tcBorders>
              <w:top w:val="single" w:color="auto" w:sz="4" w:space="0"/>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single" w:color="auto" w:sz="4" w:space="0"/>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4台接入交换机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行政2楼</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4台接入交换机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行政3楼</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4台接入交换机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行政4楼</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区域2的2层</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3台接入交换机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区域2的4层</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综合1楼</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3台接入交换机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综合4楼</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3台接入交换机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综合6楼</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3台接入交换机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综合10楼</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3台接入交换机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综合13楼</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3台接入交换机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综合16楼</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综合19楼</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精神楼东2层</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精神楼东4层</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精神楼西2层</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精神楼西4层</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老机房</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1台接入汇聚</w:t>
            </w: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2台接入交换机</w:t>
            </w:r>
          </w:p>
        </w:tc>
      </w:tr>
      <w:tr>
        <w:tblPrEx>
          <w:tblCellMar>
            <w:top w:w="0" w:type="dxa"/>
            <w:left w:w="108" w:type="dxa"/>
            <w:bottom w:w="0" w:type="dxa"/>
            <w:right w:w="108" w:type="dxa"/>
          </w:tblCellMar>
        </w:tblPrEx>
        <w:trPr>
          <w:trHeight w:val="285" w:hRule="atLeast"/>
        </w:trPr>
        <w:tc>
          <w:tcPr>
            <w:tcW w:w="2025" w:type="dxa"/>
            <w:tcBorders>
              <w:top w:val="nil"/>
              <w:left w:val="single" w:color="auto" w:sz="4" w:space="0"/>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食堂1楼</w:t>
            </w:r>
          </w:p>
        </w:tc>
        <w:tc>
          <w:tcPr>
            <w:tcW w:w="3072"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p>
        </w:tc>
        <w:tc>
          <w:tcPr>
            <w:tcW w:w="4457" w:type="dxa"/>
            <w:tcBorders>
              <w:top w:val="nil"/>
              <w:left w:val="nil"/>
              <w:bottom w:val="single" w:color="auto" w:sz="4" w:space="0"/>
              <w:right w:val="single" w:color="auto" w:sz="4" w:space="0"/>
            </w:tcBorders>
            <w:shd w:val="clear" w:color="auto" w:fill="auto"/>
            <w:noWrap/>
            <w:vAlign w:val="center"/>
          </w:tcPr>
          <w:p>
            <w:pPr>
              <w:jc w:val="left"/>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1台接入交换机</w:t>
            </w:r>
          </w:p>
        </w:tc>
      </w:tr>
    </w:tbl>
    <w:p>
      <w:pPr>
        <w:rPr>
          <w:rFonts w:hint="eastAsia" w:ascii="宋体" w:hAnsi="宋体" w:eastAsia="宋体" w:cs="宋体"/>
        </w:rPr>
      </w:pPr>
    </w:p>
    <w:p>
      <w:pPr>
        <w:rPr>
          <w:rFonts w:hint="eastAsia" w:ascii="宋体" w:hAnsi="宋体" w:eastAsia="宋体" w:cs="宋体"/>
        </w:rPr>
      </w:pPr>
      <w:r>
        <w:rPr>
          <w:rFonts w:hint="eastAsia" w:ascii="宋体" w:hAnsi="宋体" w:eastAsia="宋体" w:cs="宋体"/>
        </w:rPr>
        <w:t>1.故障维修：硬件故障、端口损坏、配置错误</w:t>
      </w:r>
      <w:r>
        <w:rPr>
          <w:rFonts w:hint="eastAsia" w:ascii="宋体" w:hAnsi="宋体" w:eastAsia="宋体" w:cs="宋体"/>
          <w:lang w:val="en-US" w:eastAsia="zh-CN"/>
        </w:rPr>
        <w:t>纠正</w:t>
      </w:r>
      <w:r>
        <w:rPr>
          <w:rFonts w:hint="eastAsia" w:ascii="宋体" w:hAnsi="宋体" w:eastAsia="宋体" w:cs="宋体"/>
        </w:rPr>
        <w:t>；</w:t>
      </w:r>
    </w:p>
    <w:p>
      <w:pPr>
        <w:rPr>
          <w:rFonts w:hint="eastAsia" w:ascii="宋体" w:hAnsi="宋体" w:eastAsia="宋体" w:cs="宋体"/>
        </w:rPr>
      </w:pPr>
      <w:r>
        <w:rPr>
          <w:rFonts w:hint="eastAsia" w:ascii="宋体" w:hAnsi="宋体" w:eastAsia="宋体" w:cs="宋体"/>
        </w:rPr>
        <w:t>2.</w:t>
      </w:r>
      <w:r>
        <w:rPr>
          <w:rFonts w:hint="eastAsia" w:ascii="宋体" w:hAnsi="宋体" w:eastAsia="宋体" w:cs="宋体"/>
          <w:lang w:val="en-US" w:eastAsia="zh-CN"/>
        </w:rPr>
        <w:t>日常</w:t>
      </w:r>
      <w:r>
        <w:rPr>
          <w:rFonts w:hint="eastAsia" w:ascii="宋体" w:hAnsi="宋体" w:eastAsia="宋体" w:cs="宋体"/>
        </w:rPr>
        <w:t>性维护：定期现场到院内弱电井道进行巡检包括但不限于（井道环境、内外网交换机、整理线路、机柜等）、清洁设备、固件/软件升级；</w:t>
      </w:r>
    </w:p>
    <w:p>
      <w:pPr>
        <w:rPr>
          <w:rFonts w:hint="eastAsia"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3.备件</w:t>
      </w:r>
      <w:r>
        <w:rPr>
          <w:rFonts w:hint="eastAsia" w:ascii="宋体" w:hAnsi="宋体" w:eastAsia="宋体" w:cs="宋体"/>
          <w:color w:val="000000" w:themeColor="text1"/>
          <w:lang w:val="en-US" w:eastAsia="zh-CN"/>
          <w14:textFill>
            <w14:solidFill>
              <w14:schemeClr w14:val="tx1"/>
            </w14:solidFill>
          </w14:textFill>
        </w:rPr>
        <w:t>替换</w:t>
      </w:r>
      <w:r>
        <w:rPr>
          <w:rFonts w:hint="eastAsia" w:ascii="宋体" w:hAnsi="宋体" w:eastAsia="宋体" w:cs="宋体"/>
          <w:color w:val="000000" w:themeColor="text1"/>
          <w14:textFill>
            <w14:solidFill>
              <w14:schemeClr w14:val="tx1"/>
            </w14:solidFill>
          </w14:textFill>
        </w:rPr>
        <w:t>：免费提供原厂备件跟换和添加，备件由服务商提供；</w:t>
      </w:r>
    </w:p>
    <w:p>
      <w:pPr>
        <w:rPr>
          <w:rFonts w:hint="eastAsia" w:ascii="宋体" w:hAnsi="宋体" w:eastAsia="宋体" w:cs="宋体"/>
        </w:rPr>
      </w:pPr>
      <w:r>
        <w:rPr>
          <w:rFonts w:hint="eastAsia" w:ascii="宋体" w:hAnsi="宋体" w:eastAsia="宋体" w:cs="宋体"/>
        </w:rPr>
        <w:t>4.技术支持：</w:t>
      </w:r>
      <w:r>
        <w:rPr>
          <w:rFonts w:hint="eastAsia" w:ascii="宋体" w:hAnsi="宋体" w:eastAsia="宋体" w:cs="宋体"/>
          <w:lang w:val="en-US" w:eastAsia="zh-CN"/>
        </w:rPr>
        <w:t>提供</w:t>
      </w:r>
      <w:r>
        <w:rPr>
          <w:rFonts w:hint="eastAsia" w:ascii="宋体" w:hAnsi="宋体" w:eastAsia="宋体" w:cs="宋体"/>
        </w:rPr>
        <w:t>7*24小时故障处理</w:t>
      </w:r>
      <w:r>
        <w:rPr>
          <w:rFonts w:hint="eastAsia" w:ascii="宋体" w:hAnsi="宋体" w:eastAsia="宋体" w:cs="宋体"/>
          <w:lang w:val="en-US" w:eastAsia="zh-CN"/>
        </w:rPr>
        <w:t>响应</w:t>
      </w:r>
      <w:r>
        <w:rPr>
          <w:rFonts w:hint="eastAsia" w:ascii="宋体" w:hAnsi="宋体" w:eastAsia="宋体" w:cs="宋体"/>
        </w:rPr>
        <w:t>服务；</w:t>
      </w:r>
    </w:p>
    <w:p>
      <w:pPr>
        <w:rPr>
          <w:rFonts w:hint="eastAsia" w:ascii="宋体" w:hAnsi="宋体" w:eastAsia="宋体" w:cs="宋体"/>
          <w:b/>
          <w:bCs/>
          <w:sz w:val="28"/>
          <w:szCs w:val="28"/>
        </w:rPr>
      </w:pPr>
    </w:p>
    <w:p>
      <w:pPr>
        <w:rPr>
          <w:rFonts w:hint="eastAsia" w:ascii="宋体" w:hAnsi="宋体" w:eastAsia="宋体" w:cs="宋体"/>
          <w:b/>
          <w:bCs/>
        </w:rPr>
      </w:pPr>
      <w:r>
        <w:rPr>
          <w:rFonts w:hint="eastAsia" w:ascii="宋体" w:hAnsi="宋体" w:eastAsia="宋体" w:cs="宋体"/>
          <w:b/>
          <w:bCs/>
        </w:rPr>
        <w:t>无线查房网络部分</w:t>
      </w:r>
    </w:p>
    <w:p>
      <w:pPr>
        <w:bidi w:val="0"/>
        <w:rPr>
          <w:rFonts w:hint="eastAsia" w:ascii="宋体" w:hAnsi="宋体" w:eastAsia="宋体" w:cs="宋体"/>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30"/>
        <w:gridCol w:w="2142"/>
        <w:gridCol w:w="3348"/>
        <w:gridCol w:w="23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1630" w:type="dxa"/>
            <w:vAlign w:val="center"/>
          </w:tcPr>
          <w:p>
            <w:pPr>
              <w:widowControl w:val="0"/>
              <w:bidi w:val="0"/>
              <w:jc w:val="center"/>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序号</w:t>
            </w:r>
          </w:p>
        </w:tc>
        <w:tc>
          <w:tcPr>
            <w:tcW w:w="2142" w:type="dxa"/>
            <w:vAlign w:val="center"/>
          </w:tcPr>
          <w:p>
            <w:pPr>
              <w:widowControl w:val="0"/>
              <w:bidi w:val="0"/>
              <w:jc w:val="center"/>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无线设备类型</w:t>
            </w:r>
          </w:p>
        </w:tc>
        <w:tc>
          <w:tcPr>
            <w:tcW w:w="3348" w:type="dxa"/>
            <w:vAlign w:val="center"/>
          </w:tcPr>
          <w:p>
            <w:pPr>
              <w:widowControl w:val="0"/>
              <w:bidi w:val="0"/>
              <w:jc w:val="center"/>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品牌及型号</w:t>
            </w:r>
          </w:p>
        </w:tc>
        <w:tc>
          <w:tcPr>
            <w:tcW w:w="2385" w:type="dxa"/>
            <w:vAlign w:val="center"/>
          </w:tcPr>
          <w:p>
            <w:pPr>
              <w:widowControl w:val="0"/>
              <w:bidi w:val="0"/>
              <w:jc w:val="center"/>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1630" w:type="dxa"/>
            <w:vAlign w:val="center"/>
          </w:tcPr>
          <w:p>
            <w:pPr>
              <w:widowControl w:val="0"/>
              <w:bidi w:val="0"/>
              <w:jc w:val="center"/>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1</w:t>
            </w:r>
          </w:p>
        </w:tc>
        <w:tc>
          <w:tcPr>
            <w:tcW w:w="2142" w:type="dxa"/>
            <w:vAlign w:val="center"/>
          </w:tcPr>
          <w:p>
            <w:pPr>
              <w:widowControl w:val="0"/>
              <w:bidi w:val="0"/>
              <w:jc w:val="center"/>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分体AP型号1</w:t>
            </w:r>
          </w:p>
        </w:tc>
        <w:tc>
          <w:tcPr>
            <w:tcW w:w="3348" w:type="dxa"/>
            <w:vAlign w:val="center"/>
          </w:tcPr>
          <w:p>
            <w:pPr>
              <w:widowControl w:val="0"/>
              <w:bidi w:val="0"/>
              <w:jc w:val="center"/>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新华三  （</w:t>
            </w:r>
            <w:r>
              <w:rPr>
                <w:rFonts w:hint="eastAsia" w:ascii="宋体" w:hAnsi="宋体" w:eastAsia="宋体" w:cs="宋体"/>
                <w:color w:val="000000"/>
                <w:kern w:val="0"/>
                <w:sz w:val="22"/>
                <w:szCs w:val="22"/>
              </w:rPr>
              <w:t>H3C-WTU630</w:t>
            </w:r>
            <w:r>
              <w:rPr>
                <w:rFonts w:hint="eastAsia" w:ascii="宋体" w:hAnsi="宋体" w:eastAsia="宋体" w:cs="宋体"/>
                <w:vertAlign w:val="baseline"/>
                <w:lang w:val="en-US" w:eastAsia="zh-CN"/>
              </w:rPr>
              <w:t>）</w:t>
            </w:r>
          </w:p>
        </w:tc>
        <w:tc>
          <w:tcPr>
            <w:tcW w:w="2385" w:type="dxa"/>
            <w:vAlign w:val="center"/>
          </w:tcPr>
          <w:p>
            <w:pPr>
              <w:widowControl w:val="0"/>
              <w:bidi w:val="0"/>
              <w:jc w:val="center"/>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512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1630" w:type="dxa"/>
            <w:vAlign w:val="center"/>
          </w:tcPr>
          <w:p>
            <w:pPr>
              <w:widowControl w:val="0"/>
              <w:bidi w:val="0"/>
              <w:jc w:val="center"/>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2</w:t>
            </w:r>
          </w:p>
        </w:tc>
        <w:tc>
          <w:tcPr>
            <w:tcW w:w="2142" w:type="dxa"/>
            <w:vAlign w:val="center"/>
          </w:tcPr>
          <w:p>
            <w:pPr>
              <w:widowControl w:val="0"/>
              <w:bidi w:val="0"/>
              <w:jc w:val="center"/>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分体AP型号2</w:t>
            </w:r>
          </w:p>
        </w:tc>
        <w:tc>
          <w:tcPr>
            <w:tcW w:w="3348" w:type="dxa"/>
            <w:vAlign w:val="center"/>
          </w:tcPr>
          <w:p>
            <w:pPr>
              <w:widowControl w:val="0"/>
              <w:bidi w:val="0"/>
              <w:jc w:val="center"/>
              <w:rPr>
                <w:rFonts w:hint="eastAsia" w:ascii="宋体" w:hAnsi="宋体" w:eastAsia="宋体" w:cs="宋体"/>
                <w:vertAlign w:val="baseline"/>
              </w:rPr>
            </w:pPr>
            <w:r>
              <w:rPr>
                <w:rFonts w:hint="eastAsia" w:ascii="宋体" w:hAnsi="宋体" w:eastAsia="宋体" w:cs="宋体"/>
                <w:vertAlign w:val="baseline"/>
                <w:lang w:val="en-US" w:eastAsia="zh-CN"/>
              </w:rPr>
              <w:t>新华三  （</w:t>
            </w:r>
            <w:r>
              <w:rPr>
                <w:rFonts w:hint="eastAsia" w:ascii="宋体" w:hAnsi="宋体" w:eastAsia="宋体" w:cs="宋体"/>
                <w:color w:val="000000"/>
                <w:kern w:val="0"/>
                <w:sz w:val="22"/>
                <w:szCs w:val="22"/>
              </w:rPr>
              <w:t>H3C-WTU</w:t>
            </w:r>
            <w:r>
              <w:rPr>
                <w:rFonts w:hint="eastAsia" w:ascii="宋体" w:hAnsi="宋体" w:eastAsia="宋体" w:cs="宋体"/>
                <w:color w:val="000000"/>
                <w:kern w:val="0"/>
                <w:sz w:val="22"/>
                <w:szCs w:val="22"/>
                <w:lang w:val="en-US" w:eastAsia="zh-CN"/>
              </w:rPr>
              <w:t>4</w:t>
            </w:r>
            <w:r>
              <w:rPr>
                <w:rFonts w:hint="eastAsia" w:ascii="宋体" w:hAnsi="宋体" w:eastAsia="宋体" w:cs="宋体"/>
                <w:color w:val="000000"/>
                <w:kern w:val="0"/>
                <w:sz w:val="22"/>
                <w:szCs w:val="22"/>
              </w:rPr>
              <w:t>30</w:t>
            </w:r>
            <w:r>
              <w:rPr>
                <w:rFonts w:hint="eastAsia" w:ascii="宋体" w:hAnsi="宋体" w:eastAsia="宋体" w:cs="宋体"/>
                <w:vertAlign w:val="baseline"/>
                <w:lang w:val="en-US" w:eastAsia="zh-CN"/>
              </w:rPr>
              <w:t>）</w:t>
            </w:r>
          </w:p>
        </w:tc>
        <w:tc>
          <w:tcPr>
            <w:tcW w:w="2385" w:type="dxa"/>
            <w:vAlign w:val="center"/>
          </w:tcPr>
          <w:p>
            <w:pPr>
              <w:widowControl w:val="0"/>
              <w:bidi w:val="0"/>
              <w:jc w:val="center"/>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630" w:type="dxa"/>
            <w:vAlign w:val="center"/>
          </w:tcPr>
          <w:p>
            <w:pPr>
              <w:widowControl w:val="0"/>
              <w:bidi w:val="0"/>
              <w:jc w:val="center"/>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3</w:t>
            </w:r>
          </w:p>
        </w:tc>
        <w:tc>
          <w:tcPr>
            <w:tcW w:w="2142" w:type="dxa"/>
            <w:vAlign w:val="center"/>
          </w:tcPr>
          <w:p>
            <w:pPr>
              <w:widowControl w:val="0"/>
              <w:bidi w:val="0"/>
              <w:jc w:val="center"/>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高密AP</w:t>
            </w:r>
          </w:p>
        </w:tc>
        <w:tc>
          <w:tcPr>
            <w:tcW w:w="3348" w:type="dxa"/>
            <w:vAlign w:val="center"/>
          </w:tcPr>
          <w:p>
            <w:pPr>
              <w:widowControl w:val="0"/>
              <w:bidi w:val="0"/>
              <w:jc w:val="center"/>
              <w:rPr>
                <w:rFonts w:hint="eastAsia" w:ascii="宋体" w:hAnsi="宋体" w:eastAsia="宋体" w:cs="宋体"/>
                <w:vertAlign w:val="baseline"/>
              </w:rPr>
            </w:pPr>
            <w:r>
              <w:rPr>
                <w:rFonts w:hint="eastAsia" w:ascii="宋体" w:hAnsi="宋体" w:eastAsia="宋体" w:cs="宋体"/>
                <w:vertAlign w:val="baseline"/>
                <w:lang w:val="en-US" w:eastAsia="zh-CN"/>
              </w:rPr>
              <w:t>新华三  （</w:t>
            </w:r>
            <w:r>
              <w:rPr>
                <w:rFonts w:hint="eastAsia" w:ascii="宋体" w:hAnsi="宋体" w:eastAsia="宋体" w:cs="宋体"/>
                <w:color w:val="000000"/>
                <w:kern w:val="0"/>
                <w:sz w:val="22"/>
                <w:szCs w:val="22"/>
              </w:rPr>
              <w:t>H3C-WTU</w:t>
            </w:r>
            <w:r>
              <w:rPr>
                <w:rFonts w:hint="eastAsia" w:ascii="宋体" w:hAnsi="宋体" w:eastAsia="宋体" w:cs="宋体"/>
                <w:color w:val="000000"/>
                <w:kern w:val="0"/>
                <w:sz w:val="22"/>
                <w:szCs w:val="22"/>
                <w:lang w:val="en-US" w:eastAsia="zh-CN"/>
              </w:rPr>
              <w:t>6338</w:t>
            </w:r>
            <w:r>
              <w:rPr>
                <w:rFonts w:hint="eastAsia" w:ascii="宋体" w:hAnsi="宋体" w:eastAsia="宋体" w:cs="宋体"/>
                <w:vertAlign w:val="baseline"/>
                <w:lang w:val="en-US" w:eastAsia="zh-CN"/>
              </w:rPr>
              <w:t>）</w:t>
            </w:r>
          </w:p>
        </w:tc>
        <w:tc>
          <w:tcPr>
            <w:tcW w:w="2385" w:type="dxa"/>
            <w:vAlign w:val="center"/>
          </w:tcPr>
          <w:p>
            <w:pPr>
              <w:widowControl w:val="0"/>
              <w:bidi w:val="0"/>
              <w:jc w:val="center"/>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18</w:t>
            </w:r>
          </w:p>
        </w:tc>
      </w:tr>
    </w:tbl>
    <w:p>
      <w:pPr>
        <w:bidi w:val="0"/>
        <w:rPr>
          <w:rFonts w:hint="eastAsia" w:ascii="宋体" w:hAnsi="宋体" w:eastAsia="宋体" w:cs="宋体"/>
        </w:rPr>
      </w:pPr>
    </w:p>
    <w:p>
      <w:pPr>
        <w:rPr>
          <w:rFonts w:hint="eastAsia" w:ascii="宋体" w:hAnsi="宋体" w:eastAsia="宋体" w:cs="宋体"/>
          <w:lang w:val="en-US" w:eastAsia="zh-CN"/>
        </w:rPr>
      </w:pPr>
      <w:r>
        <w:rPr>
          <w:rFonts w:hint="eastAsia" w:ascii="宋体" w:hAnsi="宋体" w:eastAsia="宋体" w:cs="宋体"/>
          <w:lang w:val="en-US" w:eastAsia="zh-CN"/>
        </w:rPr>
        <w:t>详情如下：</w:t>
      </w:r>
    </w:p>
    <w:p>
      <w:pPr>
        <w:bidi w:val="0"/>
        <w:rPr>
          <w:rFonts w:hint="eastAsia" w:ascii="宋体" w:hAnsi="宋体" w:eastAsia="宋体" w:cs="宋体"/>
          <w:lang w:val="en-US" w:eastAsia="zh-CN"/>
        </w:rPr>
      </w:pPr>
    </w:p>
    <w:tbl>
      <w:tblPr>
        <w:tblStyle w:val="29"/>
        <w:tblW w:w="5000" w:type="pct"/>
        <w:tblInd w:w="0" w:type="dxa"/>
        <w:tblLayout w:type="fixed"/>
        <w:tblCellMar>
          <w:top w:w="0" w:type="dxa"/>
          <w:left w:w="108" w:type="dxa"/>
          <w:bottom w:w="0" w:type="dxa"/>
          <w:right w:w="108" w:type="dxa"/>
        </w:tblCellMar>
      </w:tblPr>
      <w:tblGrid>
        <w:gridCol w:w="912"/>
        <w:gridCol w:w="2486"/>
        <w:gridCol w:w="1830"/>
        <w:gridCol w:w="2122"/>
        <w:gridCol w:w="2158"/>
      </w:tblGrid>
      <w:tr>
        <w:tblPrEx>
          <w:tblCellMar>
            <w:top w:w="0" w:type="dxa"/>
            <w:left w:w="108" w:type="dxa"/>
            <w:bottom w:w="0" w:type="dxa"/>
            <w:right w:w="108" w:type="dxa"/>
          </w:tblCellMar>
        </w:tblPrEx>
        <w:trPr>
          <w:trHeight w:val="480" w:hRule="atLeast"/>
        </w:trPr>
        <w:tc>
          <w:tcPr>
            <w:tcW w:w="479" w:type="pct"/>
            <w:tcBorders>
              <w:top w:val="single" w:color="auto" w:sz="4" w:space="0"/>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序号</w:t>
            </w:r>
          </w:p>
        </w:tc>
        <w:tc>
          <w:tcPr>
            <w:tcW w:w="1307" w:type="pct"/>
            <w:tcBorders>
              <w:top w:val="single" w:color="auto" w:sz="4" w:space="0"/>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安装位置</w:t>
            </w:r>
          </w:p>
        </w:tc>
        <w:tc>
          <w:tcPr>
            <w:tcW w:w="962" w:type="pct"/>
            <w:tcBorders>
              <w:top w:val="single" w:color="auto" w:sz="4" w:space="0"/>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分体AP H3C-WTU630</w:t>
            </w:r>
          </w:p>
        </w:tc>
        <w:tc>
          <w:tcPr>
            <w:tcW w:w="1115" w:type="pct"/>
            <w:tcBorders>
              <w:top w:val="single" w:color="auto" w:sz="4" w:space="0"/>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高密AP H3C-WA6338</w:t>
            </w:r>
          </w:p>
        </w:tc>
        <w:tc>
          <w:tcPr>
            <w:tcW w:w="1134" w:type="pct"/>
            <w:tcBorders>
              <w:top w:val="single" w:color="auto" w:sz="4" w:space="0"/>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分体AP H3C-WTU430</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急诊1楼</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3</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综合大楼1楼隔离病房</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5</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3</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综合大楼二层消毒中心</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5</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4</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综合大楼三层检验科</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5</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5</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综合大楼6层ICU</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9</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6</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综合大楼7层手术室</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11</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7</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综合大楼9层9病区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27</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8</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综合大楼10层10病区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30</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9</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综合大楼12层12病区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27</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10</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综合大楼13层13病区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27</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11</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综合大楼14层14病区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27</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12</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综合大楼15层15病区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27</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13</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综合大楼16层16病区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34</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14</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综合大楼17层17病区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27</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15</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综合大楼18层18病区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27</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16</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综合大楼19层19病区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27</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17</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精神大楼东楼1层病区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29</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18</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精神大楼东楼2层病区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29</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19</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精神大楼东楼3层病区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29</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20</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精神大楼东楼4层病区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29</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21</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精神大楼东楼5层病区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29</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22</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精神大楼西楼2层病区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19</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23</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精神大楼西楼3层病区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19</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24</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精神大楼西楼4层病区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19</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25</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精神大楼西楼5层病区</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19</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26</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精神大楼西楼1层康复科</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5</w:t>
            </w:r>
          </w:p>
        </w:tc>
      </w:tr>
      <w:tr>
        <w:tblPrEx>
          <w:tblCellMar>
            <w:top w:w="0" w:type="dxa"/>
            <w:left w:w="108" w:type="dxa"/>
            <w:bottom w:w="0" w:type="dxa"/>
            <w:right w:w="108" w:type="dxa"/>
          </w:tblCellMar>
        </w:tblPrEx>
        <w:trPr>
          <w:trHeight w:val="480" w:hRule="atLeast"/>
        </w:trPr>
        <w:tc>
          <w:tcPr>
            <w:tcW w:w="479" w:type="pct"/>
            <w:tcBorders>
              <w:top w:val="nil"/>
              <w:left w:val="single" w:color="auto" w:sz="4" w:space="0"/>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27</w:t>
            </w:r>
          </w:p>
        </w:tc>
        <w:tc>
          <w:tcPr>
            <w:tcW w:w="1307"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精神大楼西楼1层MECT</w:t>
            </w:r>
          </w:p>
        </w:tc>
        <w:tc>
          <w:tcPr>
            <w:tcW w:w="962"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5"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34" w:type="pct"/>
            <w:tcBorders>
              <w:top w:val="nil"/>
              <w:left w:val="nil"/>
              <w:bottom w:val="single" w:color="auto" w:sz="4" w:space="0"/>
              <w:right w:val="single" w:color="auto" w:sz="4" w:space="0"/>
            </w:tcBorders>
            <w:shd w:val="clear" w:color="auto" w:fill="auto"/>
            <w:noWrap/>
            <w:vAlign w:val="bottom"/>
          </w:tcPr>
          <w:p>
            <w:pPr>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2</w:t>
            </w:r>
          </w:p>
        </w:tc>
      </w:tr>
    </w:tbl>
    <w:p>
      <w:pPr>
        <w:rPr>
          <w:rFonts w:hint="eastAsia" w:ascii="宋体" w:hAnsi="宋体" w:eastAsia="宋体" w:cs="宋体"/>
        </w:rPr>
      </w:pPr>
    </w:p>
    <w:p>
      <w:pPr>
        <w:rPr>
          <w:rFonts w:hint="eastAsia" w:ascii="宋体" w:hAnsi="宋体" w:eastAsia="宋体" w:cs="宋体"/>
        </w:rPr>
      </w:pPr>
      <w:r>
        <w:rPr>
          <w:rFonts w:hint="eastAsia" w:ascii="宋体" w:hAnsi="宋体" w:eastAsia="宋体" w:cs="宋体"/>
        </w:rPr>
        <w:t>满足临床对查房网络的需求</w:t>
      </w:r>
    </w:p>
    <w:p>
      <w:pPr>
        <w:rPr>
          <w:rFonts w:hint="eastAsia" w:ascii="宋体" w:hAnsi="宋体" w:eastAsia="宋体" w:cs="宋体"/>
        </w:rPr>
      </w:pPr>
      <w:r>
        <w:rPr>
          <w:rFonts w:hint="eastAsia" w:ascii="宋体" w:hAnsi="宋体" w:eastAsia="宋体" w:cs="宋体"/>
        </w:rPr>
        <w:t>1.故障维修：AP故障处理、保障AP在线运行；</w:t>
      </w:r>
    </w:p>
    <w:p>
      <w:pPr>
        <w:rPr>
          <w:rFonts w:hint="eastAsia" w:ascii="宋体" w:hAnsi="宋体" w:eastAsia="宋体" w:cs="宋体"/>
        </w:rPr>
      </w:pPr>
      <w:r>
        <w:rPr>
          <w:rFonts w:hint="eastAsia" w:ascii="宋体" w:hAnsi="宋体" w:eastAsia="宋体" w:cs="宋体"/>
        </w:rPr>
        <w:t>2.预防性维护：定期现场到院内无线查房网络进行巡检包括但不限于（信道调优、保证主信号强度、AP其他性能进行系统优化等）、固件/软件升级；</w:t>
      </w:r>
    </w:p>
    <w:p>
      <w:pPr>
        <w:rPr>
          <w:rFonts w:hint="eastAsia"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3.备件增替：AP硬件损坏，免费更换,设备由服务商提供；</w:t>
      </w:r>
    </w:p>
    <w:p>
      <w:pPr>
        <w:rPr>
          <w:rFonts w:hint="eastAsia" w:ascii="宋体" w:hAnsi="宋体" w:eastAsia="宋体" w:cs="宋体"/>
        </w:rPr>
      </w:pPr>
      <w:r>
        <w:rPr>
          <w:rFonts w:hint="eastAsia" w:ascii="宋体" w:hAnsi="宋体" w:eastAsia="宋体" w:cs="宋体"/>
        </w:rPr>
        <w:t>4.技术支持：7*24小时故障处理服务；</w:t>
      </w:r>
    </w:p>
    <w:p>
      <w:pPr>
        <w:ind w:firstLine="420" w:firstLineChars="200"/>
        <w:rPr>
          <w:rFonts w:hint="eastAsia" w:ascii="宋体" w:hAnsi="宋体" w:eastAsia="宋体" w:cs="宋体"/>
        </w:rPr>
      </w:pPr>
    </w:p>
    <w:p>
      <w:pPr>
        <w:pStyle w:val="4"/>
        <w:numPr>
          <w:ilvl w:val="1"/>
          <w:numId w:val="4"/>
        </w:numPr>
        <w:rPr>
          <w:rFonts w:hint="eastAsia" w:ascii="宋体" w:hAnsi="宋体" w:eastAsia="宋体" w:cs="宋体"/>
        </w:rPr>
      </w:pPr>
      <w:bookmarkStart w:id="3" w:name="_Toc192247511"/>
      <w:bookmarkStart w:id="4" w:name="_Toc176253214"/>
      <w:r>
        <w:rPr>
          <w:rFonts w:hint="eastAsia" w:ascii="宋体" w:hAnsi="宋体" w:eastAsia="宋体" w:cs="宋体"/>
          <w:lang w:val="en-US" w:eastAsia="zh-CN"/>
        </w:rPr>
        <w:t>数据中心</w:t>
      </w:r>
      <w:r>
        <w:rPr>
          <w:rFonts w:hint="eastAsia" w:ascii="宋体" w:hAnsi="宋体" w:eastAsia="宋体" w:cs="宋体"/>
        </w:rPr>
        <w:t>运维</w:t>
      </w:r>
      <w:r>
        <w:rPr>
          <w:rFonts w:hint="eastAsia" w:ascii="宋体" w:hAnsi="宋体" w:eastAsia="宋体" w:cs="宋体"/>
          <w:lang w:val="en-US" w:eastAsia="zh-CN"/>
        </w:rPr>
        <w:t>服务</w:t>
      </w:r>
      <w:r>
        <w:rPr>
          <w:rFonts w:hint="eastAsia" w:ascii="宋体" w:hAnsi="宋体" w:eastAsia="宋体" w:cs="宋体"/>
        </w:rPr>
        <w:t>部分</w:t>
      </w:r>
      <w:bookmarkEnd w:id="3"/>
      <w:bookmarkEnd w:id="4"/>
    </w:p>
    <w:p>
      <w:pPr>
        <w:pStyle w:val="5"/>
        <w:rPr>
          <w:rFonts w:hint="eastAsia" w:ascii="宋体" w:hAnsi="宋体" w:eastAsia="宋体" w:cs="宋体"/>
        </w:rPr>
      </w:pPr>
      <w:bookmarkStart w:id="5" w:name="_Toc192247512"/>
      <w:bookmarkStart w:id="6" w:name="_Toc176253215"/>
      <w:r>
        <w:rPr>
          <w:rFonts w:hint="eastAsia" w:ascii="宋体" w:hAnsi="宋体" w:eastAsia="宋体" w:cs="宋体"/>
        </w:rPr>
        <w:t>3.2.1.服务器</w:t>
      </w:r>
      <w:r>
        <w:rPr>
          <w:rFonts w:hint="eastAsia" w:ascii="宋体" w:hAnsi="宋体" w:eastAsia="宋体" w:cs="宋体"/>
          <w:lang w:val="en-US" w:eastAsia="zh-CN"/>
        </w:rPr>
        <w:t>设备</w:t>
      </w:r>
      <w:r>
        <w:rPr>
          <w:rFonts w:hint="eastAsia" w:ascii="宋体" w:hAnsi="宋体" w:eastAsia="宋体" w:cs="宋体"/>
        </w:rPr>
        <w:t>运维服务</w:t>
      </w:r>
      <w:bookmarkEnd w:id="5"/>
      <w:bookmarkEnd w:id="6"/>
    </w:p>
    <w:p>
      <w:pPr>
        <w:ind w:firstLine="420" w:firstLineChars="200"/>
        <w:rPr>
          <w:rFonts w:hint="eastAsia" w:ascii="宋体" w:hAnsi="宋体" w:eastAsia="宋体" w:cs="宋体"/>
          <w:color w:val="000000"/>
          <w:szCs w:val="21"/>
        </w:rPr>
      </w:pPr>
      <w:r>
        <w:rPr>
          <w:rFonts w:hint="eastAsia" w:ascii="宋体" w:hAnsi="宋体" w:eastAsia="宋体" w:cs="宋体"/>
          <w:color w:val="000000"/>
          <w:szCs w:val="21"/>
        </w:rPr>
        <w:t>定期对服务器运行状态进行检查和分析，对服务器故障提供现场、远程技术支持，故障修复等服务。</w:t>
      </w:r>
    </w:p>
    <w:tbl>
      <w:tblPr>
        <w:tblStyle w:val="29"/>
        <w:tblW w:w="9718"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3"/>
        <w:gridCol w:w="8305"/>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13" w:type="dxa"/>
            <w:vAlign w:val="center"/>
          </w:tcPr>
          <w:p>
            <w:pPr>
              <w:jc w:val="left"/>
              <w:rPr>
                <w:rFonts w:hint="eastAsia" w:ascii="宋体" w:hAnsi="宋体" w:eastAsia="宋体" w:cs="宋体"/>
                <w:kern w:val="0"/>
                <w:szCs w:val="21"/>
              </w:rPr>
            </w:pPr>
            <w:r>
              <w:rPr>
                <w:rFonts w:hint="eastAsia" w:ascii="宋体" w:hAnsi="宋体" w:eastAsia="宋体" w:cs="宋体"/>
                <w:kern w:val="0"/>
                <w:szCs w:val="21"/>
              </w:rPr>
              <w:t>内容</w:t>
            </w:r>
          </w:p>
        </w:tc>
        <w:tc>
          <w:tcPr>
            <w:tcW w:w="8305"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服务说明</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13" w:type="dxa"/>
            <w:vAlign w:val="center"/>
          </w:tcPr>
          <w:p>
            <w:pPr>
              <w:jc w:val="left"/>
              <w:rPr>
                <w:rFonts w:hint="eastAsia" w:ascii="宋体" w:hAnsi="宋体" w:eastAsia="宋体" w:cs="宋体"/>
                <w:kern w:val="0"/>
                <w:szCs w:val="21"/>
              </w:rPr>
            </w:pPr>
            <w:r>
              <w:rPr>
                <w:rFonts w:hint="eastAsia" w:ascii="宋体" w:hAnsi="宋体" w:eastAsia="宋体" w:cs="宋体"/>
                <w:kern w:val="0"/>
                <w:szCs w:val="21"/>
              </w:rPr>
              <w:t>日常维护</w:t>
            </w:r>
          </w:p>
        </w:tc>
        <w:tc>
          <w:tcPr>
            <w:tcW w:w="8305" w:type="dxa"/>
            <w:noWrap/>
            <w:vAlign w:val="center"/>
          </w:tcPr>
          <w:p>
            <w:pPr>
              <w:rPr>
                <w:rFonts w:hint="eastAsia" w:ascii="宋体" w:hAnsi="宋体" w:eastAsia="宋体" w:cs="宋体"/>
                <w:kern w:val="0"/>
                <w:szCs w:val="21"/>
              </w:rPr>
            </w:pPr>
            <w:r>
              <w:rPr>
                <w:rFonts w:hint="eastAsia" w:ascii="宋体" w:hAnsi="宋体" w:eastAsia="宋体" w:cs="宋体"/>
                <w:kern w:val="0"/>
                <w:szCs w:val="21"/>
              </w:rPr>
              <w:t>硬件设备巡检（设备面板、设备连线、设备电源、设备风扇、CPU、MEM、I/O板、RAID卡、以太网卡、HBA卡、设备故障灯）；输出文档：每月重点服务器硬件巡检文档，每季度全部服务器硬件巡检文档。</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13" w:type="dxa"/>
            <w:vAlign w:val="center"/>
          </w:tcPr>
          <w:p>
            <w:pPr>
              <w:jc w:val="left"/>
              <w:rPr>
                <w:rFonts w:hint="eastAsia" w:ascii="宋体" w:hAnsi="宋体" w:eastAsia="宋体" w:cs="宋体"/>
                <w:kern w:val="0"/>
                <w:szCs w:val="21"/>
              </w:rPr>
            </w:pPr>
            <w:r>
              <w:rPr>
                <w:rFonts w:hint="eastAsia" w:ascii="宋体" w:hAnsi="宋体" w:eastAsia="宋体" w:cs="宋体"/>
                <w:kern w:val="0"/>
                <w:szCs w:val="21"/>
              </w:rPr>
              <w:t>故障处理</w:t>
            </w:r>
          </w:p>
        </w:tc>
        <w:tc>
          <w:tcPr>
            <w:tcW w:w="8305" w:type="dxa"/>
            <w:noWrap/>
            <w:vAlign w:val="center"/>
          </w:tcPr>
          <w:p>
            <w:pPr>
              <w:rPr>
                <w:rFonts w:hint="eastAsia" w:ascii="宋体" w:hAnsi="宋体" w:eastAsia="宋体" w:cs="宋体"/>
                <w:kern w:val="0"/>
                <w:szCs w:val="21"/>
              </w:rPr>
            </w:pPr>
            <w:r>
              <w:rPr>
                <w:rFonts w:hint="eastAsia" w:ascii="宋体" w:hAnsi="宋体" w:eastAsia="宋体" w:cs="宋体"/>
                <w:kern w:val="0"/>
                <w:szCs w:val="21"/>
              </w:rPr>
              <w:t>硬件故障排查、分析；故障排除、恢复；设备硬件报修及跟踪处理，输出文档：硬件故障处理文档。</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13" w:type="dxa"/>
            <w:vAlign w:val="center"/>
          </w:tcPr>
          <w:p>
            <w:pPr>
              <w:jc w:val="left"/>
              <w:rPr>
                <w:rFonts w:hint="eastAsia" w:ascii="宋体" w:hAnsi="宋体" w:eastAsia="宋体" w:cs="宋体"/>
                <w:kern w:val="0"/>
                <w:szCs w:val="21"/>
              </w:rPr>
            </w:pPr>
            <w:r>
              <w:rPr>
                <w:rFonts w:hint="eastAsia" w:ascii="宋体" w:hAnsi="宋体" w:eastAsia="宋体" w:cs="宋体"/>
                <w:kern w:val="0"/>
                <w:szCs w:val="21"/>
              </w:rPr>
              <w:t>服务能力</w:t>
            </w:r>
          </w:p>
        </w:tc>
        <w:tc>
          <w:tcPr>
            <w:tcW w:w="8305" w:type="dxa"/>
            <w:noWrap/>
            <w:vAlign w:val="center"/>
          </w:tcPr>
          <w:p>
            <w:pPr>
              <w:rPr>
                <w:rFonts w:hint="eastAsia" w:ascii="宋体" w:hAnsi="宋体" w:eastAsia="宋体" w:cs="宋体"/>
                <w:kern w:val="0"/>
                <w:szCs w:val="21"/>
              </w:rPr>
            </w:pPr>
            <w:r>
              <w:rPr>
                <w:rFonts w:hint="eastAsia" w:ascii="宋体" w:hAnsi="宋体" w:eastAsia="宋体" w:cs="宋体"/>
                <w:kern w:val="0"/>
                <w:szCs w:val="21"/>
              </w:rPr>
              <w:t>提供医院服务器安装部署、服务器集群等架构和资源使用现状情况。</w:t>
            </w:r>
          </w:p>
        </w:tc>
      </w:tr>
    </w:tbl>
    <w:p>
      <w:pPr>
        <w:pStyle w:val="5"/>
        <w:rPr>
          <w:rFonts w:hint="eastAsia" w:ascii="宋体" w:hAnsi="宋体" w:eastAsia="宋体" w:cs="宋体"/>
        </w:rPr>
      </w:pPr>
      <w:bookmarkStart w:id="7" w:name="_Toc176253216"/>
      <w:bookmarkStart w:id="8" w:name="_Toc192247513"/>
      <w:r>
        <w:rPr>
          <w:rFonts w:hint="eastAsia" w:ascii="宋体" w:hAnsi="宋体" w:eastAsia="宋体" w:cs="宋体"/>
        </w:rPr>
        <w:t>3.2.2.存储</w:t>
      </w:r>
      <w:r>
        <w:rPr>
          <w:rFonts w:hint="eastAsia" w:ascii="宋体" w:hAnsi="宋体" w:eastAsia="宋体" w:cs="宋体"/>
          <w:lang w:val="en-US" w:eastAsia="zh-CN"/>
        </w:rPr>
        <w:t>设备</w:t>
      </w:r>
      <w:r>
        <w:rPr>
          <w:rFonts w:hint="eastAsia" w:ascii="宋体" w:hAnsi="宋体" w:eastAsia="宋体" w:cs="宋体"/>
        </w:rPr>
        <w:t>运维服务</w:t>
      </w:r>
      <w:bookmarkEnd w:id="7"/>
      <w:bookmarkEnd w:id="8"/>
    </w:p>
    <w:p>
      <w:pPr>
        <w:ind w:firstLine="420" w:firstLineChars="200"/>
        <w:rPr>
          <w:rFonts w:hint="eastAsia" w:ascii="宋体" w:hAnsi="宋体" w:eastAsia="宋体" w:cs="宋体"/>
          <w:color w:val="000000"/>
          <w:szCs w:val="21"/>
        </w:rPr>
      </w:pPr>
      <w:r>
        <w:rPr>
          <w:rFonts w:hint="eastAsia" w:ascii="宋体" w:hAnsi="宋体" w:eastAsia="宋体" w:cs="宋体"/>
          <w:color w:val="000000"/>
          <w:szCs w:val="21"/>
        </w:rPr>
        <w:t>对磁盘阵列、光纤交换机等设备定期进行运行状态检查和分析，提供现场和远程支持。</w:t>
      </w:r>
    </w:p>
    <w:tbl>
      <w:tblPr>
        <w:tblStyle w:val="29"/>
        <w:tblW w:w="0" w:type="auto"/>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3"/>
        <w:gridCol w:w="8059"/>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63" w:type="dxa"/>
            <w:vAlign w:val="center"/>
          </w:tcPr>
          <w:p>
            <w:pPr>
              <w:jc w:val="left"/>
              <w:rPr>
                <w:rFonts w:hint="eastAsia" w:ascii="宋体" w:hAnsi="宋体" w:eastAsia="宋体" w:cs="宋体"/>
                <w:kern w:val="0"/>
                <w:szCs w:val="21"/>
              </w:rPr>
            </w:pPr>
            <w:r>
              <w:rPr>
                <w:rFonts w:hint="eastAsia" w:ascii="宋体" w:hAnsi="宋体" w:eastAsia="宋体" w:cs="宋体"/>
                <w:kern w:val="0"/>
                <w:szCs w:val="21"/>
              </w:rPr>
              <w:t>内容</w:t>
            </w:r>
          </w:p>
        </w:tc>
        <w:tc>
          <w:tcPr>
            <w:tcW w:w="805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服务说明</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63" w:type="dxa"/>
            <w:noWrap/>
            <w:vAlign w:val="center"/>
          </w:tcPr>
          <w:p>
            <w:pPr>
              <w:jc w:val="left"/>
              <w:rPr>
                <w:rFonts w:hint="eastAsia" w:ascii="宋体" w:hAnsi="宋体" w:eastAsia="宋体" w:cs="宋体"/>
                <w:kern w:val="0"/>
                <w:szCs w:val="21"/>
              </w:rPr>
            </w:pPr>
            <w:r>
              <w:rPr>
                <w:rFonts w:hint="eastAsia" w:ascii="宋体" w:hAnsi="宋体" w:eastAsia="宋体" w:cs="宋体"/>
                <w:kern w:val="0"/>
                <w:szCs w:val="21"/>
              </w:rPr>
              <w:t>日常维护</w:t>
            </w:r>
          </w:p>
        </w:tc>
        <w:tc>
          <w:tcPr>
            <w:tcW w:w="8059" w:type="dxa"/>
            <w:noWrap/>
            <w:vAlign w:val="center"/>
          </w:tcPr>
          <w:p>
            <w:pPr>
              <w:rPr>
                <w:rFonts w:hint="eastAsia" w:ascii="宋体" w:hAnsi="宋体" w:eastAsia="宋体" w:cs="宋体"/>
                <w:kern w:val="0"/>
                <w:szCs w:val="21"/>
              </w:rPr>
            </w:pPr>
            <w:r>
              <w:rPr>
                <w:rFonts w:hint="eastAsia" w:ascii="宋体" w:hAnsi="宋体" w:eastAsia="宋体" w:cs="宋体"/>
                <w:kern w:val="0"/>
                <w:szCs w:val="21"/>
              </w:rPr>
              <w:t>设备巡检（设备运行状态、硬盘状态、热备盘接管状态、电源模块、存储连通状态）；输出文档：每月存储硬件巡检文档。</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63" w:type="dxa"/>
            <w:noWrap/>
            <w:vAlign w:val="center"/>
          </w:tcPr>
          <w:p>
            <w:pPr>
              <w:jc w:val="left"/>
              <w:rPr>
                <w:rFonts w:hint="eastAsia" w:ascii="宋体" w:hAnsi="宋体" w:eastAsia="宋体" w:cs="宋体"/>
                <w:kern w:val="0"/>
                <w:szCs w:val="21"/>
              </w:rPr>
            </w:pPr>
            <w:r>
              <w:rPr>
                <w:rFonts w:hint="eastAsia" w:ascii="宋体" w:hAnsi="宋体" w:eastAsia="宋体" w:cs="宋体"/>
                <w:kern w:val="0"/>
                <w:szCs w:val="21"/>
              </w:rPr>
              <w:t>故障处理</w:t>
            </w:r>
          </w:p>
        </w:tc>
        <w:tc>
          <w:tcPr>
            <w:tcW w:w="8059" w:type="dxa"/>
            <w:noWrap/>
            <w:vAlign w:val="center"/>
          </w:tcPr>
          <w:p>
            <w:pPr>
              <w:rPr>
                <w:rFonts w:hint="eastAsia" w:ascii="宋体" w:hAnsi="宋体" w:eastAsia="宋体" w:cs="宋体"/>
                <w:kern w:val="0"/>
                <w:szCs w:val="21"/>
              </w:rPr>
            </w:pPr>
            <w:r>
              <w:rPr>
                <w:rFonts w:hint="eastAsia" w:ascii="宋体" w:hAnsi="宋体" w:eastAsia="宋体" w:cs="宋体"/>
                <w:kern w:val="0"/>
                <w:szCs w:val="21"/>
              </w:rPr>
              <w:t>故障排查、分析；故障排除、恢复；确认排除、恢复的结果；设备硬件报修及跟踪处理；输出文档：存储故障处理文档。</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63" w:type="dxa"/>
            <w:noWrap/>
            <w:vAlign w:val="center"/>
          </w:tcPr>
          <w:p>
            <w:pPr>
              <w:jc w:val="left"/>
              <w:rPr>
                <w:rFonts w:hint="eastAsia" w:ascii="宋体" w:hAnsi="宋体" w:eastAsia="宋体" w:cs="宋体"/>
                <w:kern w:val="0"/>
                <w:szCs w:val="21"/>
              </w:rPr>
            </w:pPr>
            <w:r>
              <w:rPr>
                <w:rFonts w:hint="eastAsia" w:ascii="宋体" w:hAnsi="宋体" w:eastAsia="宋体" w:cs="宋体"/>
                <w:kern w:val="0"/>
                <w:szCs w:val="21"/>
              </w:rPr>
              <w:t>数据迁移</w:t>
            </w:r>
          </w:p>
        </w:tc>
        <w:tc>
          <w:tcPr>
            <w:tcW w:w="8059" w:type="dxa"/>
            <w:noWrap/>
            <w:vAlign w:val="center"/>
          </w:tcPr>
          <w:p>
            <w:pPr>
              <w:rPr>
                <w:rFonts w:hint="eastAsia" w:ascii="宋体" w:hAnsi="宋体" w:eastAsia="宋体" w:cs="宋体"/>
                <w:kern w:val="0"/>
                <w:szCs w:val="21"/>
              </w:rPr>
            </w:pPr>
            <w:r>
              <w:rPr>
                <w:rFonts w:hint="eastAsia" w:ascii="宋体" w:hAnsi="宋体" w:eastAsia="宋体" w:cs="宋体"/>
                <w:kern w:val="0"/>
                <w:szCs w:val="21"/>
              </w:rPr>
              <w:t>配合存储规划调整、数据迁移。</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63" w:type="dxa"/>
            <w:noWrap/>
            <w:vAlign w:val="center"/>
          </w:tcPr>
          <w:p>
            <w:pPr>
              <w:jc w:val="left"/>
              <w:rPr>
                <w:rFonts w:hint="eastAsia" w:ascii="宋体" w:hAnsi="宋体" w:eastAsia="宋体" w:cs="宋体"/>
                <w:kern w:val="0"/>
                <w:szCs w:val="21"/>
              </w:rPr>
            </w:pPr>
            <w:r>
              <w:rPr>
                <w:rFonts w:hint="eastAsia" w:ascii="宋体" w:hAnsi="宋体" w:eastAsia="宋体" w:cs="宋体"/>
                <w:kern w:val="0"/>
                <w:szCs w:val="21"/>
              </w:rPr>
              <w:t>服务能力</w:t>
            </w:r>
          </w:p>
        </w:tc>
        <w:tc>
          <w:tcPr>
            <w:tcW w:w="8059" w:type="dxa"/>
            <w:noWrap/>
            <w:vAlign w:val="center"/>
          </w:tcPr>
          <w:p>
            <w:pPr>
              <w:rPr>
                <w:rFonts w:hint="eastAsia" w:ascii="宋体" w:hAnsi="宋体" w:eastAsia="宋体" w:cs="宋体"/>
                <w:kern w:val="0"/>
                <w:szCs w:val="21"/>
              </w:rPr>
            </w:pPr>
            <w:r>
              <w:rPr>
                <w:rFonts w:hint="eastAsia" w:ascii="宋体" w:hAnsi="宋体" w:eastAsia="宋体" w:cs="宋体"/>
                <w:kern w:val="0"/>
                <w:szCs w:val="21"/>
              </w:rPr>
              <w:t>提供医院存储安装部署、存储资源分配、使用统计情况。</w:t>
            </w:r>
          </w:p>
        </w:tc>
      </w:tr>
    </w:tbl>
    <w:p>
      <w:pPr>
        <w:pStyle w:val="5"/>
        <w:rPr>
          <w:rFonts w:hint="eastAsia" w:ascii="宋体" w:hAnsi="宋体" w:eastAsia="宋体" w:cs="宋体"/>
        </w:rPr>
      </w:pPr>
      <w:bookmarkStart w:id="9" w:name="_Toc176253217"/>
      <w:bookmarkStart w:id="10" w:name="_Toc192247514"/>
      <w:r>
        <w:rPr>
          <w:rFonts w:hint="eastAsia" w:ascii="宋体" w:hAnsi="宋体" w:eastAsia="宋体" w:cs="宋体"/>
        </w:rPr>
        <w:t>3.2.3.虚拟化</w:t>
      </w:r>
      <w:r>
        <w:rPr>
          <w:rFonts w:hint="eastAsia" w:ascii="宋体" w:hAnsi="宋体" w:eastAsia="宋体" w:cs="宋体"/>
          <w:lang w:val="en-US" w:eastAsia="zh-CN"/>
        </w:rPr>
        <w:t>部分</w:t>
      </w:r>
      <w:r>
        <w:rPr>
          <w:rFonts w:hint="eastAsia" w:ascii="宋体" w:hAnsi="宋体" w:eastAsia="宋体" w:cs="宋体"/>
        </w:rPr>
        <w:t>运维服务</w:t>
      </w:r>
      <w:bookmarkEnd w:id="9"/>
      <w:bookmarkEnd w:id="10"/>
    </w:p>
    <w:p>
      <w:pPr>
        <w:ind w:firstLine="420" w:firstLineChars="200"/>
        <w:rPr>
          <w:rFonts w:hint="eastAsia" w:ascii="宋体" w:hAnsi="宋体" w:eastAsia="宋体" w:cs="宋体"/>
          <w:color w:val="000000"/>
          <w:szCs w:val="21"/>
        </w:rPr>
      </w:pPr>
      <w:r>
        <w:rPr>
          <w:rFonts w:hint="eastAsia" w:ascii="宋体" w:hAnsi="宋体" w:eastAsia="宋体" w:cs="宋体"/>
          <w:color w:val="000000"/>
          <w:szCs w:val="21"/>
        </w:rPr>
        <w:t>对</w:t>
      </w:r>
      <w:r>
        <w:rPr>
          <w:rFonts w:hint="eastAsia" w:ascii="宋体" w:hAnsi="宋体" w:eastAsia="宋体" w:cs="宋体"/>
          <w:color w:val="000000"/>
          <w:szCs w:val="21"/>
          <w:lang w:val="en-US" w:eastAsia="zh-CN"/>
        </w:rPr>
        <w:t>院内的</w:t>
      </w:r>
      <w:r>
        <w:rPr>
          <w:rFonts w:hint="eastAsia" w:ascii="宋体" w:hAnsi="宋体" w:eastAsia="宋体" w:cs="宋体"/>
          <w:color w:val="000000"/>
          <w:szCs w:val="21"/>
        </w:rPr>
        <w:t>超融合</w:t>
      </w:r>
      <w:r>
        <w:rPr>
          <w:rFonts w:hint="eastAsia" w:ascii="宋体" w:hAnsi="宋体" w:eastAsia="宋体" w:cs="宋体"/>
          <w:color w:val="000000"/>
          <w:szCs w:val="21"/>
          <w:lang w:val="en-US" w:eastAsia="zh-CN"/>
        </w:rPr>
        <w:t>平台</w:t>
      </w:r>
      <w:r>
        <w:rPr>
          <w:rFonts w:hint="eastAsia" w:ascii="宋体" w:hAnsi="宋体" w:eastAsia="宋体" w:cs="宋体"/>
          <w:color w:val="000000"/>
          <w:szCs w:val="21"/>
        </w:rPr>
        <w:t>、虚拟化平台软件运行状态进行检查和分析，完成巡检报告；对平台软件故障提供现场和远程支持；根据</w:t>
      </w:r>
      <w:r>
        <w:rPr>
          <w:rFonts w:hint="eastAsia" w:ascii="宋体" w:hAnsi="宋体" w:eastAsia="宋体" w:cs="宋体"/>
          <w:color w:val="000000"/>
          <w:szCs w:val="21"/>
          <w:lang w:val="en-US" w:eastAsia="zh-CN"/>
        </w:rPr>
        <w:t>院方业务发展需求</w:t>
      </w:r>
      <w:r>
        <w:rPr>
          <w:rFonts w:hint="eastAsia" w:ascii="宋体" w:hAnsi="宋体" w:eastAsia="宋体" w:cs="宋体"/>
          <w:color w:val="000000"/>
          <w:szCs w:val="21"/>
        </w:rPr>
        <w:t>，评估当前性能并给出</w:t>
      </w:r>
      <w:r>
        <w:rPr>
          <w:rFonts w:hint="eastAsia" w:ascii="宋体" w:hAnsi="宋体" w:eastAsia="宋体" w:cs="宋体"/>
          <w:color w:val="000000"/>
          <w:szCs w:val="21"/>
          <w:lang w:val="en-US" w:eastAsia="zh-CN"/>
        </w:rPr>
        <w:t>相应的</w:t>
      </w:r>
      <w:r>
        <w:rPr>
          <w:rFonts w:hint="eastAsia" w:ascii="宋体" w:hAnsi="宋体" w:eastAsia="宋体" w:cs="宋体"/>
          <w:color w:val="000000"/>
          <w:szCs w:val="21"/>
        </w:rPr>
        <w:t>优化建议。</w:t>
      </w:r>
    </w:p>
    <w:tbl>
      <w:tblPr>
        <w:tblStyle w:val="29"/>
        <w:tblW w:w="0" w:type="auto"/>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3"/>
        <w:gridCol w:w="7986"/>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13"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内容</w:t>
            </w:r>
          </w:p>
        </w:tc>
        <w:tc>
          <w:tcPr>
            <w:tcW w:w="7986"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服务说明</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13" w:type="dxa"/>
            <w:noWrap/>
            <w:vAlign w:val="center"/>
          </w:tcPr>
          <w:p>
            <w:pPr>
              <w:jc w:val="left"/>
              <w:rPr>
                <w:rFonts w:hint="eastAsia" w:ascii="宋体" w:hAnsi="宋体" w:eastAsia="宋体" w:cs="宋体"/>
                <w:kern w:val="0"/>
                <w:szCs w:val="21"/>
              </w:rPr>
            </w:pPr>
            <w:r>
              <w:rPr>
                <w:rFonts w:hint="eastAsia" w:ascii="宋体" w:hAnsi="宋体" w:eastAsia="宋体" w:cs="宋体"/>
                <w:kern w:val="0"/>
                <w:szCs w:val="21"/>
              </w:rPr>
              <w:t>日常运维</w:t>
            </w:r>
          </w:p>
        </w:tc>
        <w:tc>
          <w:tcPr>
            <w:tcW w:w="7986" w:type="dxa"/>
            <w:noWrap/>
            <w:vAlign w:val="center"/>
          </w:tcPr>
          <w:p>
            <w:pPr>
              <w:rPr>
                <w:rFonts w:hint="eastAsia" w:ascii="宋体" w:hAnsi="宋体" w:eastAsia="宋体" w:cs="宋体"/>
                <w:kern w:val="0"/>
                <w:szCs w:val="21"/>
              </w:rPr>
            </w:pPr>
            <w:r>
              <w:rPr>
                <w:rFonts w:hint="eastAsia" w:ascii="宋体" w:hAnsi="宋体" w:eastAsia="宋体" w:cs="宋体"/>
                <w:kern w:val="0"/>
                <w:szCs w:val="21"/>
              </w:rPr>
              <w:t>配合虚拟机配置、资源调整；</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13" w:type="dxa"/>
            <w:noWrap/>
            <w:vAlign w:val="center"/>
          </w:tcPr>
          <w:p>
            <w:pPr>
              <w:jc w:val="left"/>
              <w:rPr>
                <w:rFonts w:hint="eastAsia" w:ascii="宋体" w:hAnsi="宋体" w:eastAsia="宋体" w:cs="宋体"/>
                <w:kern w:val="0"/>
                <w:szCs w:val="21"/>
              </w:rPr>
            </w:pPr>
            <w:r>
              <w:rPr>
                <w:rFonts w:hint="eastAsia" w:ascii="宋体" w:hAnsi="宋体" w:eastAsia="宋体" w:cs="宋体"/>
                <w:kern w:val="0"/>
                <w:szCs w:val="21"/>
              </w:rPr>
              <w:t>系统巡检</w:t>
            </w:r>
          </w:p>
        </w:tc>
        <w:tc>
          <w:tcPr>
            <w:tcW w:w="7986" w:type="dxa"/>
            <w:noWrap/>
            <w:vAlign w:val="center"/>
          </w:tcPr>
          <w:p>
            <w:pPr>
              <w:rPr>
                <w:rFonts w:hint="eastAsia" w:ascii="宋体" w:hAnsi="宋体" w:eastAsia="宋体" w:cs="宋体"/>
                <w:kern w:val="0"/>
                <w:szCs w:val="21"/>
              </w:rPr>
            </w:pPr>
            <w:r>
              <w:rPr>
                <w:rFonts w:hint="eastAsia" w:ascii="宋体" w:hAnsi="宋体" w:eastAsia="宋体" w:cs="宋体"/>
                <w:kern w:val="0"/>
                <w:szCs w:val="21"/>
                <w:lang w:val="en-US" w:eastAsia="zh-CN"/>
              </w:rPr>
              <w:t>虚拟化</w:t>
            </w:r>
            <w:r>
              <w:rPr>
                <w:rFonts w:hint="eastAsia" w:ascii="宋体" w:hAnsi="宋体" w:eastAsia="宋体" w:cs="宋体"/>
                <w:kern w:val="0"/>
                <w:szCs w:val="21"/>
              </w:rPr>
              <w:t>平台软件运行状态进行检查和分析（包括</w:t>
            </w:r>
            <w:r>
              <w:rPr>
                <w:rFonts w:hint="eastAsia" w:ascii="宋体" w:hAnsi="宋体" w:eastAsia="宋体" w:cs="宋体"/>
                <w:kern w:val="0"/>
                <w:szCs w:val="21"/>
                <w:lang w:val="en-US" w:eastAsia="zh-CN"/>
              </w:rPr>
              <w:t>物理</w:t>
            </w:r>
            <w:r>
              <w:rPr>
                <w:rFonts w:hint="eastAsia" w:ascii="宋体" w:hAnsi="宋体" w:eastAsia="宋体" w:cs="宋体"/>
                <w:kern w:val="0"/>
                <w:szCs w:val="21"/>
              </w:rPr>
              <w:t>机柜图、VEEAM备份、集群的虚拟机数量、主机内存使用率、存储使用率、vsan前后端性能），根据系统运行情况给出相关建议；输出文档：每月</w:t>
            </w:r>
            <w:r>
              <w:rPr>
                <w:rFonts w:hint="eastAsia" w:ascii="宋体" w:hAnsi="宋体" w:eastAsia="宋体" w:cs="宋体"/>
                <w:kern w:val="0"/>
                <w:szCs w:val="21"/>
                <w:lang w:val="en-US" w:eastAsia="zh-CN"/>
              </w:rPr>
              <w:t>出具</w:t>
            </w:r>
            <w:r>
              <w:rPr>
                <w:rFonts w:hint="eastAsia" w:ascii="宋体" w:hAnsi="宋体" w:eastAsia="宋体" w:cs="宋体"/>
                <w:kern w:val="0"/>
                <w:szCs w:val="21"/>
              </w:rPr>
              <w:t>虚拟化巡检文档；每2周</w:t>
            </w:r>
            <w:r>
              <w:rPr>
                <w:rFonts w:hint="eastAsia" w:ascii="宋体" w:hAnsi="宋体" w:eastAsia="宋体" w:cs="宋体"/>
                <w:kern w:val="0"/>
                <w:szCs w:val="21"/>
                <w:lang w:val="en-US" w:eastAsia="zh-CN"/>
              </w:rPr>
              <w:t>出具</w:t>
            </w:r>
            <w:r>
              <w:rPr>
                <w:rFonts w:hint="eastAsia" w:ascii="宋体" w:hAnsi="宋体" w:eastAsia="宋体" w:cs="宋体"/>
                <w:kern w:val="0"/>
                <w:szCs w:val="21"/>
              </w:rPr>
              <w:t>虚拟化存储空间使用情况统计表。</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13" w:type="dxa"/>
            <w:noWrap/>
            <w:vAlign w:val="center"/>
          </w:tcPr>
          <w:p>
            <w:pPr>
              <w:jc w:val="left"/>
              <w:rPr>
                <w:rFonts w:hint="eastAsia" w:ascii="宋体" w:hAnsi="宋体" w:eastAsia="宋体" w:cs="宋体"/>
                <w:kern w:val="0"/>
                <w:szCs w:val="21"/>
              </w:rPr>
            </w:pPr>
            <w:r>
              <w:rPr>
                <w:rFonts w:hint="eastAsia" w:ascii="宋体" w:hAnsi="宋体" w:eastAsia="宋体" w:cs="宋体"/>
                <w:kern w:val="0"/>
                <w:szCs w:val="21"/>
              </w:rPr>
              <w:t>故障处理</w:t>
            </w:r>
          </w:p>
        </w:tc>
        <w:tc>
          <w:tcPr>
            <w:tcW w:w="7986" w:type="dxa"/>
            <w:noWrap/>
            <w:vAlign w:val="center"/>
          </w:tcPr>
          <w:p>
            <w:pPr>
              <w:rPr>
                <w:rFonts w:hint="eastAsia" w:ascii="宋体" w:hAnsi="宋体" w:eastAsia="宋体" w:cs="宋体"/>
                <w:kern w:val="0"/>
                <w:szCs w:val="21"/>
              </w:rPr>
            </w:pPr>
            <w:r>
              <w:rPr>
                <w:rFonts w:hint="eastAsia" w:ascii="宋体" w:hAnsi="宋体" w:eastAsia="宋体" w:cs="宋体"/>
                <w:kern w:val="0"/>
                <w:szCs w:val="21"/>
              </w:rPr>
              <w:t>虚拟机系统故障和问题进行分析和排除；虚拟机网络故障和问题进行分析和排除；系统底层问题排查处理；输出文档：虚拟化故障处理文档。</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13" w:type="dxa"/>
            <w:noWrap/>
            <w:vAlign w:val="center"/>
          </w:tcPr>
          <w:p>
            <w:pPr>
              <w:jc w:val="left"/>
              <w:rPr>
                <w:rFonts w:hint="eastAsia" w:ascii="宋体" w:hAnsi="宋体" w:eastAsia="宋体" w:cs="宋体"/>
                <w:kern w:val="0"/>
                <w:szCs w:val="21"/>
              </w:rPr>
            </w:pPr>
            <w:r>
              <w:rPr>
                <w:rFonts w:hint="eastAsia" w:ascii="宋体" w:hAnsi="宋体" w:eastAsia="宋体" w:cs="宋体"/>
                <w:kern w:val="0"/>
                <w:szCs w:val="21"/>
              </w:rPr>
              <w:t>升级</w:t>
            </w:r>
          </w:p>
        </w:tc>
        <w:tc>
          <w:tcPr>
            <w:tcW w:w="7986" w:type="dxa"/>
            <w:noWrap/>
            <w:vAlign w:val="center"/>
          </w:tcPr>
          <w:p>
            <w:pPr>
              <w:rPr>
                <w:rFonts w:hint="eastAsia" w:ascii="宋体" w:hAnsi="宋体" w:eastAsia="宋体" w:cs="宋体"/>
                <w:kern w:val="0"/>
                <w:szCs w:val="21"/>
              </w:rPr>
            </w:pPr>
            <w:r>
              <w:rPr>
                <w:rFonts w:hint="eastAsia" w:ascii="宋体" w:hAnsi="宋体" w:eastAsia="宋体" w:cs="宋体"/>
                <w:kern w:val="0"/>
                <w:szCs w:val="21"/>
              </w:rPr>
              <w:t>如有安全需要，配合做虚拟机版本升级；</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13" w:type="dxa"/>
            <w:noWrap/>
            <w:vAlign w:val="center"/>
          </w:tcPr>
          <w:p>
            <w:pPr>
              <w:jc w:val="left"/>
              <w:rPr>
                <w:rFonts w:hint="eastAsia" w:ascii="宋体" w:hAnsi="宋体" w:eastAsia="宋体" w:cs="宋体"/>
                <w:kern w:val="0"/>
                <w:szCs w:val="21"/>
              </w:rPr>
            </w:pPr>
            <w:r>
              <w:rPr>
                <w:rFonts w:hint="eastAsia" w:ascii="宋体" w:hAnsi="宋体" w:eastAsia="宋体" w:cs="宋体"/>
                <w:kern w:val="0"/>
                <w:szCs w:val="21"/>
              </w:rPr>
              <w:t>数据迁移</w:t>
            </w:r>
          </w:p>
        </w:tc>
        <w:tc>
          <w:tcPr>
            <w:tcW w:w="7986" w:type="dxa"/>
            <w:noWrap/>
            <w:vAlign w:val="center"/>
          </w:tcPr>
          <w:p>
            <w:pPr>
              <w:rPr>
                <w:rFonts w:hint="eastAsia" w:ascii="宋体" w:hAnsi="宋体" w:eastAsia="宋体" w:cs="宋体"/>
                <w:kern w:val="0"/>
                <w:szCs w:val="21"/>
              </w:rPr>
            </w:pPr>
            <w:r>
              <w:rPr>
                <w:rFonts w:hint="eastAsia" w:ascii="宋体" w:hAnsi="宋体" w:eastAsia="宋体" w:cs="宋体"/>
                <w:kern w:val="0"/>
                <w:szCs w:val="21"/>
              </w:rPr>
              <w:t>配合基于虚拟系统数据迁移；虚拟资源调整涉及的数据迁移；</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13" w:type="dxa"/>
            <w:noWrap/>
            <w:vAlign w:val="center"/>
          </w:tcPr>
          <w:p>
            <w:pPr>
              <w:jc w:val="left"/>
              <w:rPr>
                <w:rFonts w:hint="eastAsia" w:ascii="宋体" w:hAnsi="宋体" w:eastAsia="宋体" w:cs="宋体"/>
                <w:kern w:val="0"/>
                <w:szCs w:val="21"/>
              </w:rPr>
            </w:pPr>
            <w:r>
              <w:rPr>
                <w:rFonts w:hint="eastAsia" w:ascii="宋体" w:hAnsi="宋体" w:eastAsia="宋体" w:cs="宋体"/>
                <w:kern w:val="0"/>
                <w:szCs w:val="21"/>
              </w:rPr>
              <w:t>服务质量</w:t>
            </w:r>
          </w:p>
        </w:tc>
        <w:tc>
          <w:tcPr>
            <w:tcW w:w="7986" w:type="dxa"/>
            <w:noWrap/>
            <w:vAlign w:val="center"/>
          </w:tcPr>
          <w:p>
            <w:pPr>
              <w:rPr>
                <w:rFonts w:hint="eastAsia" w:ascii="宋体" w:hAnsi="宋体" w:eastAsia="宋体" w:cs="宋体"/>
                <w:kern w:val="0"/>
                <w:szCs w:val="21"/>
              </w:rPr>
            </w:pPr>
            <w:r>
              <w:rPr>
                <w:rFonts w:hint="eastAsia" w:ascii="宋体" w:hAnsi="宋体" w:eastAsia="宋体" w:cs="宋体"/>
                <w:kern w:val="0"/>
                <w:szCs w:val="21"/>
              </w:rPr>
              <w:t>为保证与其他软硬件设备维保服务的时间的一致性，投标服务商具备博通颁发的2026年Select等级代理商或以上级别，熟悉VMware虚拟化技术、熟悉部署、安装调试及故障排查；一名或以上工程师具有VMware VCP认证。</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13" w:type="dxa"/>
            <w:noWrap/>
            <w:vAlign w:val="center"/>
          </w:tcPr>
          <w:p>
            <w:pPr>
              <w:jc w:val="left"/>
              <w:rPr>
                <w:rFonts w:hint="eastAsia" w:ascii="宋体" w:hAnsi="宋体" w:eastAsia="宋体" w:cs="宋体"/>
                <w:kern w:val="0"/>
                <w:szCs w:val="21"/>
              </w:rPr>
            </w:pPr>
            <w:r>
              <w:rPr>
                <w:rFonts w:hint="eastAsia" w:ascii="宋体" w:hAnsi="宋体" w:eastAsia="宋体" w:cs="宋体"/>
                <w:kern w:val="0"/>
                <w:szCs w:val="21"/>
              </w:rPr>
              <w:t>服务能力</w:t>
            </w:r>
          </w:p>
        </w:tc>
        <w:tc>
          <w:tcPr>
            <w:tcW w:w="7986" w:type="dxa"/>
            <w:noWrap/>
            <w:vAlign w:val="center"/>
          </w:tcPr>
          <w:p>
            <w:pPr>
              <w:rPr>
                <w:rFonts w:hint="eastAsia" w:ascii="宋体" w:hAnsi="宋体" w:eastAsia="宋体" w:cs="宋体"/>
                <w:kern w:val="0"/>
                <w:szCs w:val="21"/>
              </w:rPr>
            </w:pPr>
            <w:r>
              <w:rPr>
                <w:rFonts w:hint="eastAsia" w:ascii="宋体" w:hAnsi="宋体" w:eastAsia="宋体" w:cs="宋体"/>
                <w:kern w:val="0"/>
                <w:szCs w:val="21"/>
              </w:rPr>
              <w:t>提供医院超融合、虚拟化集群部署、资源使用率统计情况。</w:t>
            </w:r>
          </w:p>
        </w:tc>
      </w:tr>
    </w:tbl>
    <w:p>
      <w:pPr>
        <w:pStyle w:val="5"/>
        <w:rPr>
          <w:rFonts w:hint="eastAsia" w:ascii="宋体" w:hAnsi="宋体" w:eastAsia="宋体" w:cs="宋体"/>
        </w:rPr>
      </w:pPr>
      <w:bookmarkStart w:id="11" w:name="_Toc176253218"/>
      <w:bookmarkStart w:id="12" w:name="_Toc192247515"/>
      <w:r>
        <w:rPr>
          <w:rFonts w:hint="eastAsia" w:ascii="宋体" w:hAnsi="宋体" w:eastAsia="宋体" w:cs="宋体"/>
        </w:rPr>
        <w:t>3.2.4.虚拟化网络安全服务</w:t>
      </w:r>
      <w:bookmarkEnd w:id="11"/>
      <w:bookmarkEnd w:id="12"/>
    </w:p>
    <w:tbl>
      <w:tblPr>
        <w:tblStyle w:val="29"/>
        <w:tblW w:w="0" w:type="auto"/>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6"/>
        <w:gridCol w:w="7833"/>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666" w:type="dxa"/>
            <w:vAlign w:val="center"/>
          </w:tcPr>
          <w:p>
            <w:pPr>
              <w:jc w:val="left"/>
              <w:rPr>
                <w:rFonts w:hint="eastAsia" w:ascii="宋体" w:hAnsi="宋体" w:eastAsia="宋体" w:cs="宋体"/>
                <w:kern w:val="0"/>
                <w:szCs w:val="21"/>
              </w:rPr>
            </w:pPr>
            <w:r>
              <w:rPr>
                <w:rFonts w:hint="eastAsia" w:ascii="宋体" w:hAnsi="宋体" w:eastAsia="宋体" w:cs="宋体"/>
                <w:kern w:val="0"/>
                <w:szCs w:val="21"/>
              </w:rPr>
              <w:t>内容</w:t>
            </w:r>
          </w:p>
        </w:tc>
        <w:tc>
          <w:tcPr>
            <w:tcW w:w="7833"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服务说明</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666" w:type="dxa"/>
            <w:noWrap/>
            <w:vAlign w:val="center"/>
          </w:tcPr>
          <w:p>
            <w:pPr>
              <w:jc w:val="left"/>
              <w:rPr>
                <w:rFonts w:hint="eastAsia" w:ascii="宋体" w:hAnsi="宋体" w:eastAsia="宋体" w:cs="宋体"/>
                <w:kern w:val="0"/>
                <w:szCs w:val="21"/>
              </w:rPr>
            </w:pPr>
            <w:r>
              <w:rPr>
                <w:rFonts w:hint="eastAsia" w:ascii="宋体" w:hAnsi="宋体" w:eastAsia="宋体" w:cs="宋体"/>
                <w:kern w:val="0"/>
                <w:szCs w:val="21"/>
              </w:rPr>
              <w:t>安全策略部署</w:t>
            </w:r>
          </w:p>
        </w:tc>
        <w:tc>
          <w:tcPr>
            <w:tcW w:w="7833" w:type="dxa"/>
            <w:noWrap/>
            <w:vAlign w:val="center"/>
          </w:tcPr>
          <w:p>
            <w:pPr>
              <w:rPr>
                <w:rFonts w:hint="eastAsia" w:ascii="宋体" w:hAnsi="宋体" w:eastAsia="宋体" w:cs="宋体"/>
                <w:kern w:val="0"/>
                <w:szCs w:val="21"/>
              </w:rPr>
            </w:pPr>
            <w:r>
              <w:rPr>
                <w:rFonts w:hint="eastAsia" w:ascii="宋体" w:hAnsi="宋体" w:eastAsia="宋体" w:cs="宋体"/>
                <w:kern w:val="0"/>
                <w:szCs w:val="21"/>
              </w:rPr>
              <w:t>配合部署实施虚拟化网络安全策略服务，控制和保护要数据中心内的东西向流量，防止勒索病毒、木马及黑客后门程序横向爆发。输出文档：虚拟化网络安全配置文档。</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666" w:type="dxa"/>
            <w:noWrap/>
            <w:vAlign w:val="center"/>
          </w:tcPr>
          <w:p>
            <w:pPr>
              <w:jc w:val="left"/>
              <w:rPr>
                <w:rFonts w:hint="eastAsia" w:ascii="宋体" w:hAnsi="宋体" w:eastAsia="宋体" w:cs="宋体"/>
                <w:kern w:val="0"/>
                <w:szCs w:val="21"/>
              </w:rPr>
            </w:pPr>
            <w:r>
              <w:rPr>
                <w:rFonts w:hint="eastAsia" w:ascii="宋体" w:hAnsi="宋体" w:eastAsia="宋体" w:cs="宋体"/>
                <w:kern w:val="0"/>
                <w:szCs w:val="21"/>
              </w:rPr>
              <w:t>主机安全升级</w:t>
            </w:r>
          </w:p>
        </w:tc>
        <w:tc>
          <w:tcPr>
            <w:tcW w:w="7833" w:type="dxa"/>
            <w:noWrap/>
            <w:vAlign w:val="center"/>
          </w:tcPr>
          <w:p>
            <w:pPr>
              <w:rPr>
                <w:rFonts w:hint="eastAsia" w:ascii="宋体" w:hAnsi="宋体" w:eastAsia="宋体" w:cs="宋体"/>
                <w:kern w:val="0"/>
                <w:szCs w:val="21"/>
              </w:rPr>
            </w:pPr>
            <w:r>
              <w:rPr>
                <w:rFonts w:hint="eastAsia" w:ascii="宋体" w:hAnsi="宋体" w:eastAsia="宋体" w:cs="宋体"/>
                <w:kern w:val="0"/>
                <w:szCs w:val="21"/>
              </w:rPr>
              <w:t>配合如有数据中心虚拟化平台升级需要或系统安全需要，根据医院要求做相应的硬件固件版本更新，协助医院对数据中心主机系统完成相应的操作系统版本更新。</w:t>
            </w:r>
          </w:p>
        </w:tc>
      </w:tr>
    </w:tbl>
    <w:p>
      <w:pPr>
        <w:pStyle w:val="5"/>
        <w:rPr>
          <w:rFonts w:hint="eastAsia" w:ascii="宋体" w:hAnsi="宋体" w:eastAsia="宋体" w:cs="宋体"/>
        </w:rPr>
      </w:pPr>
      <w:bookmarkStart w:id="13" w:name="_Toc176253219"/>
      <w:bookmarkStart w:id="14" w:name="_Toc192247516"/>
      <w:r>
        <w:rPr>
          <w:rFonts w:hint="eastAsia" w:ascii="宋体" w:hAnsi="宋体" w:eastAsia="宋体" w:cs="宋体"/>
        </w:rPr>
        <w:t>3.2.5.数据备份与检查</w:t>
      </w:r>
      <w:bookmarkEnd w:id="13"/>
      <w:bookmarkEnd w:id="14"/>
    </w:p>
    <w:tbl>
      <w:tblPr>
        <w:tblStyle w:val="29"/>
        <w:tblW w:w="9524" w:type="dxa"/>
        <w:tblInd w:w="0" w:type="dxa"/>
        <w:tblLayout w:type="fixed"/>
        <w:tblCellMar>
          <w:top w:w="0" w:type="dxa"/>
          <w:left w:w="108" w:type="dxa"/>
          <w:bottom w:w="0" w:type="dxa"/>
          <w:right w:w="108" w:type="dxa"/>
        </w:tblCellMar>
      </w:tblPr>
      <w:tblGrid>
        <w:gridCol w:w="1413"/>
        <w:gridCol w:w="8111"/>
      </w:tblGrid>
      <w:tr>
        <w:tblPrEx>
          <w:tblCellMar>
            <w:top w:w="0" w:type="dxa"/>
            <w:left w:w="108" w:type="dxa"/>
            <w:bottom w:w="0" w:type="dxa"/>
            <w:right w:w="108" w:type="dxa"/>
          </w:tblCellMar>
        </w:tblPrEx>
        <w:trPr>
          <w:trHeight w:val="312" w:hRule="atLeast"/>
        </w:trPr>
        <w:tc>
          <w:tcPr>
            <w:tcW w:w="141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color w:val="000000"/>
                <w:kern w:val="0"/>
              </w:rPr>
            </w:pPr>
            <w:r>
              <w:rPr>
                <w:rFonts w:hint="eastAsia" w:ascii="宋体" w:hAnsi="宋体" w:eastAsia="宋体" w:cs="宋体"/>
                <w:color w:val="000000"/>
                <w:kern w:val="0"/>
              </w:rPr>
              <w:t>内容</w:t>
            </w:r>
          </w:p>
        </w:tc>
        <w:tc>
          <w:tcPr>
            <w:tcW w:w="8111" w:type="dxa"/>
            <w:tcBorders>
              <w:top w:val="single" w:color="auto" w:sz="4" w:space="0"/>
              <w:left w:val="nil"/>
              <w:bottom w:val="single" w:color="auto" w:sz="4" w:space="0"/>
              <w:right w:val="single" w:color="auto" w:sz="4" w:space="0"/>
            </w:tcBorders>
            <w:shd w:val="clear" w:color="auto" w:fill="auto"/>
            <w:vAlign w:val="center"/>
          </w:tcPr>
          <w:p>
            <w:pPr>
              <w:jc w:val="center"/>
              <w:rPr>
                <w:rFonts w:hint="eastAsia" w:ascii="宋体" w:hAnsi="宋体" w:eastAsia="宋体" w:cs="宋体"/>
                <w:color w:val="000000"/>
                <w:kern w:val="0"/>
              </w:rPr>
            </w:pPr>
            <w:r>
              <w:rPr>
                <w:rFonts w:hint="eastAsia" w:ascii="宋体" w:hAnsi="宋体" w:eastAsia="宋体" w:cs="宋体"/>
                <w:color w:val="000000"/>
                <w:kern w:val="0"/>
              </w:rPr>
              <w:t>服务说明</w:t>
            </w:r>
          </w:p>
        </w:tc>
      </w:tr>
      <w:tr>
        <w:tblPrEx>
          <w:tblCellMar>
            <w:top w:w="0" w:type="dxa"/>
            <w:left w:w="108" w:type="dxa"/>
            <w:bottom w:w="0" w:type="dxa"/>
            <w:right w:w="108" w:type="dxa"/>
          </w:tblCellMar>
        </w:tblPrEx>
        <w:trPr>
          <w:trHeight w:val="624" w:hRule="atLeast"/>
        </w:trPr>
        <w:tc>
          <w:tcPr>
            <w:tcW w:w="1413" w:type="dxa"/>
            <w:vMerge w:val="restart"/>
            <w:tcBorders>
              <w:top w:val="nil"/>
              <w:left w:val="single" w:color="auto" w:sz="4" w:space="0"/>
              <w:bottom w:val="single" w:color="auto" w:sz="4" w:space="0"/>
              <w:right w:val="single" w:color="auto" w:sz="4" w:space="0"/>
            </w:tcBorders>
            <w:shd w:val="clear" w:color="auto" w:fill="auto"/>
            <w:noWrap/>
            <w:vAlign w:val="center"/>
          </w:tcPr>
          <w:p>
            <w:pPr>
              <w:jc w:val="center"/>
              <w:rPr>
                <w:rFonts w:hint="eastAsia" w:ascii="宋体" w:hAnsi="宋体" w:eastAsia="宋体" w:cs="宋体"/>
                <w:color w:val="000000"/>
                <w:kern w:val="0"/>
              </w:rPr>
            </w:pPr>
            <w:r>
              <w:rPr>
                <w:rFonts w:hint="eastAsia" w:ascii="宋体" w:hAnsi="宋体" w:eastAsia="宋体" w:cs="宋体"/>
                <w:color w:val="000000"/>
                <w:kern w:val="0"/>
              </w:rPr>
              <w:t>服务内容</w:t>
            </w:r>
          </w:p>
        </w:tc>
        <w:tc>
          <w:tcPr>
            <w:tcW w:w="8111" w:type="dxa"/>
            <w:tcBorders>
              <w:top w:val="nil"/>
              <w:left w:val="nil"/>
              <w:bottom w:val="single" w:color="auto" w:sz="4" w:space="0"/>
              <w:right w:val="single" w:color="auto" w:sz="4" w:space="0"/>
            </w:tcBorders>
            <w:shd w:val="clear" w:color="auto" w:fill="auto"/>
            <w:noWrap/>
            <w:vAlign w:val="center"/>
          </w:tcPr>
          <w:p>
            <w:pPr>
              <w:rPr>
                <w:rFonts w:hint="eastAsia" w:ascii="宋体" w:hAnsi="宋体" w:eastAsia="宋体" w:cs="宋体"/>
                <w:color w:val="000000"/>
                <w:kern w:val="0"/>
              </w:rPr>
            </w:pPr>
            <w:r>
              <w:rPr>
                <w:rFonts w:hint="eastAsia" w:ascii="宋体" w:hAnsi="宋体" w:eastAsia="宋体" w:cs="宋体"/>
                <w:color w:val="000000"/>
                <w:kern w:val="0"/>
                <w:lang w:eastAsia="zh-CN"/>
              </w:rPr>
              <w:t>服务商</w:t>
            </w:r>
            <w:r>
              <w:rPr>
                <w:rFonts w:hint="eastAsia" w:ascii="宋体" w:hAnsi="宋体" w:eastAsia="宋体" w:cs="宋体"/>
                <w:color w:val="000000"/>
                <w:kern w:val="0"/>
              </w:rPr>
              <w:t>为医院核心业务系统制订备份管理策略，部署和实施数据备份工作。</w:t>
            </w:r>
          </w:p>
        </w:tc>
      </w:tr>
      <w:tr>
        <w:tblPrEx>
          <w:tblCellMar>
            <w:top w:w="0" w:type="dxa"/>
            <w:left w:w="108" w:type="dxa"/>
            <w:bottom w:w="0" w:type="dxa"/>
            <w:right w:w="108" w:type="dxa"/>
          </w:tblCellMar>
        </w:tblPrEx>
        <w:trPr>
          <w:trHeight w:val="624" w:hRule="atLeast"/>
        </w:trPr>
        <w:tc>
          <w:tcPr>
            <w:tcW w:w="1413" w:type="dxa"/>
            <w:vMerge w:val="continue"/>
            <w:tcBorders>
              <w:top w:val="nil"/>
              <w:left w:val="single" w:color="auto" w:sz="4" w:space="0"/>
              <w:bottom w:val="single" w:color="auto" w:sz="4" w:space="0"/>
              <w:right w:val="single" w:color="auto" w:sz="4" w:space="0"/>
            </w:tcBorders>
            <w:vAlign w:val="center"/>
          </w:tcPr>
          <w:p>
            <w:pPr>
              <w:jc w:val="left"/>
              <w:rPr>
                <w:rFonts w:hint="eastAsia" w:ascii="宋体" w:hAnsi="宋体" w:eastAsia="宋体" w:cs="宋体"/>
                <w:color w:val="000000"/>
                <w:kern w:val="0"/>
              </w:rPr>
            </w:pPr>
          </w:p>
        </w:tc>
        <w:tc>
          <w:tcPr>
            <w:tcW w:w="8111" w:type="dxa"/>
            <w:tcBorders>
              <w:top w:val="nil"/>
              <w:left w:val="nil"/>
              <w:bottom w:val="single" w:color="auto" w:sz="4" w:space="0"/>
              <w:right w:val="single" w:color="auto" w:sz="4" w:space="0"/>
            </w:tcBorders>
            <w:shd w:val="clear" w:color="auto" w:fill="auto"/>
            <w:noWrap/>
            <w:vAlign w:val="center"/>
          </w:tcPr>
          <w:p>
            <w:pPr>
              <w:rPr>
                <w:rFonts w:hint="eastAsia" w:ascii="宋体" w:hAnsi="宋体" w:eastAsia="宋体" w:cs="宋体"/>
                <w:color w:val="000000"/>
                <w:kern w:val="0"/>
              </w:rPr>
            </w:pPr>
            <w:r>
              <w:rPr>
                <w:rFonts w:hint="eastAsia" w:ascii="宋体" w:hAnsi="宋体" w:eastAsia="宋体" w:cs="宋体"/>
                <w:color w:val="000000"/>
                <w:kern w:val="0"/>
                <w:lang w:eastAsia="zh-CN"/>
              </w:rPr>
              <w:t>服务商</w:t>
            </w:r>
            <w:r>
              <w:rPr>
                <w:rFonts w:hint="eastAsia" w:ascii="宋体" w:hAnsi="宋体" w:eastAsia="宋体" w:cs="宋体"/>
                <w:color w:val="000000"/>
                <w:kern w:val="0"/>
              </w:rPr>
              <w:t>应定期对核心数据备份情况进行检查确认，确保所有备份任务正常运行，对发现未正常完成的任务应及时排查解决并做好登记。</w:t>
            </w:r>
          </w:p>
        </w:tc>
      </w:tr>
      <w:tr>
        <w:tblPrEx>
          <w:tblCellMar>
            <w:top w:w="0" w:type="dxa"/>
            <w:left w:w="108" w:type="dxa"/>
            <w:bottom w:w="0" w:type="dxa"/>
            <w:right w:w="108" w:type="dxa"/>
          </w:tblCellMar>
        </w:tblPrEx>
        <w:trPr>
          <w:trHeight w:val="312" w:hRule="atLeast"/>
        </w:trPr>
        <w:tc>
          <w:tcPr>
            <w:tcW w:w="1413" w:type="dxa"/>
            <w:vMerge w:val="continue"/>
            <w:tcBorders>
              <w:top w:val="nil"/>
              <w:left w:val="single" w:color="auto" w:sz="4" w:space="0"/>
              <w:bottom w:val="single" w:color="auto" w:sz="4" w:space="0"/>
              <w:right w:val="single" w:color="auto" w:sz="4" w:space="0"/>
            </w:tcBorders>
            <w:vAlign w:val="center"/>
          </w:tcPr>
          <w:p>
            <w:pPr>
              <w:jc w:val="left"/>
              <w:rPr>
                <w:rFonts w:hint="eastAsia" w:ascii="宋体" w:hAnsi="宋体" w:eastAsia="宋体" w:cs="宋体"/>
                <w:color w:val="000000"/>
                <w:kern w:val="0"/>
              </w:rPr>
            </w:pPr>
          </w:p>
        </w:tc>
        <w:tc>
          <w:tcPr>
            <w:tcW w:w="8111" w:type="dxa"/>
            <w:tcBorders>
              <w:top w:val="nil"/>
              <w:left w:val="nil"/>
              <w:bottom w:val="single" w:color="auto" w:sz="4" w:space="0"/>
              <w:right w:val="single" w:color="auto" w:sz="4" w:space="0"/>
            </w:tcBorders>
            <w:shd w:val="clear" w:color="auto" w:fill="auto"/>
            <w:noWrap/>
            <w:vAlign w:val="center"/>
          </w:tcPr>
          <w:p>
            <w:pPr>
              <w:rPr>
                <w:rFonts w:hint="eastAsia" w:ascii="宋体" w:hAnsi="宋体" w:eastAsia="宋体" w:cs="宋体"/>
                <w:color w:val="000000"/>
                <w:kern w:val="0"/>
              </w:rPr>
            </w:pPr>
            <w:r>
              <w:rPr>
                <w:rFonts w:hint="eastAsia" w:ascii="宋体" w:hAnsi="宋体" w:eastAsia="宋体" w:cs="宋体"/>
                <w:color w:val="000000"/>
                <w:kern w:val="0"/>
              </w:rPr>
              <w:t>服务期结束后应汇总提供《数据备份和恢复测试报告》。</w:t>
            </w:r>
          </w:p>
        </w:tc>
      </w:tr>
      <w:tr>
        <w:tblPrEx>
          <w:tblCellMar>
            <w:top w:w="0" w:type="dxa"/>
            <w:left w:w="108" w:type="dxa"/>
            <w:bottom w:w="0" w:type="dxa"/>
            <w:right w:w="108" w:type="dxa"/>
          </w:tblCellMar>
        </w:tblPrEx>
        <w:trPr>
          <w:trHeight w:val="312" w:hRule="atLeast"/>
        </w:trPr>
        <w:tc>
          <w:tcPr>
            <w:tcW w:w="1413" w:type="dxa"/>
            <w:vMerge w:val="restart"/>
            <w:tcBorders>
              <w:top w:val="nil"/>
              <w:left w:val="single" w:color="auto" w:sz="4" w:space="0"/>
              <w:bottom w:val="single" w:color="auto" w:sz="4" w:space="0"/>
              <w:right w:val="single" w:color="auto" w:sz="4" w:space="0"/>
            </w:tcBorders>
            <w:shd w:val="clear" w:color="auto" w:fill="auto"/>
            <w:noWrap/>
            <w:vAlign w:val="center"/>
          </w:tcPr>
          <w:p>
            <w:pPr>
              <w:jc w:val="center"/>
              <w:rPr>
                <w:rFonts w:hint="eastAsia" w:ascii="宋体" w:hAnsi="宋体" w:eastAsia="宋体" w:cs="宋体"/>
                <w:color w:val="000000"/>
                <w:kern w:val="0"/>
              </w:rPr>
            </w:pPr>
            <w:r>
              <w:rPr>
                <w:rFonts w:hint="eastAsia" w:ascii="宋体" w:hAnsi="宋体" w:eastAsia="宋体" w:cs="宋体"/>
                <w:color w:val="000000"/>
                <w:kern w:val="0"/>
              </w:rPr>
              <w:t>服务成果</w:t>
            </w:r>
          </w:p>
        </w:tc>
        <w:tc>
          <w:tcPr>
            <w:tcW w:w="8111" w:type="dxa"/>
            <w:tcBorders>
              <w:top w:val="nil"/>
              <w:left w:val="nil"/>
              <w:bottom w:val="single" w:color="auto" w:sz="4" w:space="0"/>
              <w:right w:val="single" w:color="auto" w:sz="4" w:space="0"/>
            </w:tcBorders>
            <w:shd w:val="clear" w:color="auto" w:fill="auto"/>
            <w:noWrap/>
            <w:vAlign w:val="center"/>
          </w:tcPr>
          <w:p>
            <w:pPr>
              <w:rPr>
                <w:rFonts w:hint="eastAsia" w:ascii="宋体" w:hAnsi="宋体" w:eastAsia="宋体" w:cs="宋体"/>
                <w:color w:val="000000"/>
                <w:kern w:val="0"/>
              </w:rPr>
            </w:pPr>
            <w:r>
              <w:rPr>
                <w:rFonts w:hint="eastAsia" w:ascii="宋体" w:hAnsi="宋体" w:eastAsia="宋体" w:cs="宋体"/>
                <w:color w:val="000000"/>
                <w:kern w:val="0"/>
              </w:rPr>
              <w:t>输出文档：每2周虚拟化备份情况检查表。</w:t>
            </w:r>
          </w:p>
        </w:tc>
      </w:tr>
      <w:tr>
        <w:tblPrEx>
          <w:tblCellMar>
            <w:top w:w="0" w:type="dxa"/>
            <w:left w:w="108" w:type="dxa"/>
            <w:bottom w:w="0" w:type="dxa"/>
            <w:right w:w="108" w:type="dxa"/>
          </w:tblCellMar>
        </w:tblPrEx>
        <w:trPr>
          <w:trHeight w:val="312" w:hRule="atLeast"/>
        </w:trPr>
        <w:tc>
          <w:tcPr>
            <w:tcW w:w="1413" w:type="dxa"/>
            <w:vMerge w:val="continue"/>
            <w:tcBorders>
              <w:top w:val="nil"/>
              <w:left w:val="single" w:color="auto" w:sz="4" w:space="0"/>
              <w:bottom w:val="single" w:color="auto" w:sz="4" w:space="0"/>
              <w:right w:val="single" w:color="auto" w:sz="4" w:space="0"/>
            </w:tcBorders>
            <w:vAlign w:val="center"/>
          </w:tcPr>
          <w:p>
            <w:pPr>
              <w:jc w:val="left"/>
              <w:rPr>
                <w:rFonts w:hint="eastAsia" w:ascii="宋体" w:hAnsi="宋体" w:eastAsia="宋体" w:cs="宋体"/>
                <w:color w:val="000000"/>
                <w:kern w:val="0"/>
              </w:rPr>
            </w:pPr>
          </w:p>
        </w:tc>
        <w:tc>
          <w:tcPr>
            <w:tcW w:w="8111" w:type="dxa"/>
            <w:tcBorders>
              <w:top w:val="nil"/>
              <w:left w:val="nil"/>
              <w:bottom w:val="single" w:color="auto" w:sz="4" w:space="0"/>
              <w:right w:val="single" w:color="auto" w:sz="4" w:space="0"/>
            </w:tcBorders>
            <w:shd w:val="clear" w:color="auto" w:fill="auto"/>
            <w:noWrap/>
            <w:vAlign w:val="center"/>
          </w:tcPr>
          <w:p>
            <w:pPr>
              <w:rPr>
                <w:rFonts w:hint="eastAsia" w:ascii="宋体" w:hAnsi="宋体" w:eastAsia="宋体" w:cs="宋体"/>
                <w:color w:val="000000"/>
                <w:kern w:val="0"/>
              </w:rPr>
            </w:pPr>
            <w:r>
              <w:rPr>
                <w:rFonts w:hint="eastAsia" w:ascii="宋体" w:hAnsi="宋体" w:eastAsia="宋体" w:cs="宋体"/>
                <w:color w:val="auto"/>
                <w:kern w:val="0"/>
              </w:rPr>
              <w:t>输出文档：每2周HIS\EMR\MEDDOC\CDR\MDR\PACS 容灾备份情况检查表。</w:t>
            </w:r>
          </w:p>
        </w:tc>
      </w:tr>
      <w:tr>
        <w:tblPrEx>
          <w:tblCellMar>
            <w:top w:w="0" w:type="dxa"/>
            <w:left w:w="108" w:type="dxa"/>
            <w:bottom w:w="0" w:type="dxa"/>
            <w:right w:w="108" w:type="dxa"/>
          </w:tblCellMar>
        </w:tblPrEx>
        <w:trPr>
          <w:trHeight w:val="312" w:hRule="atLeast"/>
        </w:trPr>
        <w:tc>
          <w:tcPr>
            <w:tcW w:w="1413"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color w:val="000000"/>
                <w:kern w:val="0"/>
              </w:rPr>
            </w:pPr>
            <w:r>
              <w:rPr>
                <w:rFonts w:hint="eastAsia" w:ascii="宋体" w:hAnsi="宋体" w:eastAsia="宋体" w:cs="宋体"/>
                <w:color w:val="000000"/>
                <w:kern w:val="0"/>
              </w:rPr>
              <w:t>服务能力</w:t>
            </w:r>
          </w:p>
        </w:tc>
        <w:tc>
          <w:tcPr>
            <w:tcW w:w="8111" w:type="dxa"/>
            <w:tcBorders>
              <w:top w:val="single" w:color="auto" w:sz="4" w:space="0"/>
              <w:left w:val="nil"/>
              <w:bottom w:val="single" w:color="auto" w:sz="4" w:space="0"/>
              <w:right w:val="single" w:color="auto" w:sz="4" w:space="0"/>
            </w:tcBorders>
            <w:shd w:val="clear" w:color="auto" w:fill="auto"/>
            <w:noWrap/>
            <w:vAlign w:val="center"/>
          </w:tcPr>
          <w:p>
            <w:pPr>
              <w:rPr>
                <w:rFonts w:hint="eastAsia" w:ascii="宋体" w:hAnsi="宋体" w:eastAsia="宋体" w:cs="宋体"/>
                <w:color w:val="000000"/>
                <w:kern w:val="0"/>
                <w:lang w:val="en-US" w:eastAsia="zh-CN"/>
              </w:rPr>
            </w:pPr>
            <w:r>
              <w:rPr>
                <w:rFonts w:hint="eastAsia" w:ascii="宋体" w:hAnsi="宋体" w:eastAsia="宋体" w:cs="宋体"/>
                <w:color w:val="000000"/>
                <w:kern w:val="0"/>
              </w:rPr>
              <w:t>提供医院虚拟化系统备份容灾架构及备份现状情况</w:t>
            </w:r>
          </w:p>
        </w:tc>
      </w:tr>
    </w:tbl>
    <w:p>
      <w:pPr>
        <w:pStyle w:val="5"/>
        <w:rPr>
          <w:rFonts w:hint="eastAsia" w:ascii="宋体" w:hAnsi="宋体" w:eastAsia="宋体" w:cs="宋体"/>
        </w:rPr>
      </w:pPr>
      <w:r>
        <w:rPr>
          <w:rFonts w:hint="eastAsia" w:ascii="宋体" w:hAnsi="宋体" w:eastAsia="宋体" w:cs="宋体"/>
        </w:rPr>
        <w:t xml:space="preserve">3.2.6. </w:t>
      </w:r>
      <w:bookmarkStart w:id="15" w:name="_Toc192247517"/>
      <w:bookmarkStart w:id="16" w:name="_Toc176253220"/>
      <w:r>
        <w:rPr>
          <w:rFonts w:hint="eastAsia" w:ascii="宋体" w:hAnsi="宋体" w:eastAsia="宋体" w:cs="宋体"/>
        </w:rPr>
        <w:t>数据库灾备验证、备份恢复验证服务</w:t>
      </w:r>
      <w:bookmarkEnd w:id="15"/>
      <w:bookmarkEnd w:id="16"/>
    </w:p>
    <w:tbl>
      <w:tblPr>
        <w:tblStyle w:val="29"/>
        <w:tblW w:w="9524" w:type="dxa"/>
        <w:tblInd w:w="0" w:type="dxa"/>
        <w:tblLayout w:type="fixed"/>
        <w:tblCellMar>
          <w:top w:w="0" w:type="dxa"/>
          <w:left w:w="108" w:type="dxa"/>
          <w:bottom w:w="0" w:type="dxa"/>
          <w:right w:w="108" w:type="dxa"/>
        </w:tblCellMar>
      </w:tblPr>
      <w:tblGrid>
        <w:gridCol w:w="1413"/>
        <w:gridCol w:w="8111"/>
      </w:tblGrid>
      <w:tr>
        <w:tblPrEx>
          <w:tblCellMar>
            <w:top w:w="0" w:type="dxa"/>
            <w:left w:w="108" w:type="dxa"/>
            <w:bottom w:w="0" w:type="dxa"/>
            <w:right w:w="108" w:type="dxa"/>
          </w:tblCellMar>
        </w:tblPrEx>
        <w:trPr>
          <w:trHeight w:val="312" w:hRule="atLeast"/>
        </w:trPr>
        <w:tc>
          <w:tcPr>
            <w:tcW w:w="141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color w:val="000000"/>
                <w:kern w:val="0"/>
              </w:rPr>
            </w:pPr>
            <w:r>
              <w:rPr>
                <w:rFonts w:hint="eastAsia" w:ascii="宋体" w:hAnsi="宋体" w:eastAsia="宋体" w:cs="宋体"/>
                <w:color w:val="000000"/>
                <w:kern w:val="0"/>
              </w:rPr>
              <w:t>内容</w:t>
            </w:r>
          </w:p>
        </w:tc>
        <w:tc>
          <w:tcPr>
            <w:tcW w:w="8111" w:type="dxa"/>
            <w:tcBorders>
              <w:top w:val="single" w:color="auto" w:sz="4" w:space="0"/>
              <w:left w:val="nil"/>
              <w:bottom w:val="single" w:color="auto" w:sz="4" w:space="0"/>
              <w:right w:val="single" w:color="auto" w:sz="4" w:space="0"/>
            </w:tcBorders>
            <w:shd w:val="clear" w:color="auto" w:fill="auto"/>
            <w:vAlign w:val="center"/>
          </w:tcPr>
          <w:p>
            <w:pPr>
              <w:jc w:val="center"/>
              <w:rPr>
                <w:rFonts w:hint="eastAsia" w:ascii="宋体" w:hAnsi="宋体" w:eastAsia="宋体" w:cs="宋体"/>
                <w:color w:val="000000"/>
                <w:kern w:val="0"/>
              </w:rPr>
            </w:pPr>
            <w:r>
              <w:rPr>
                <w:rFonts w:hint="eastAsia" w:ascii="宋体" w:hAnsi="宋体" w:eastAsia="宋体" w:cs="宋体"/>
                <w:color w:val="000000"/>
                <w:kern w:val="0"/>
              </w:rPr>
              <w:t>服务说明</w:t>
            </w:r>
          </w:p>
        </w:tc>
      </w:tr>
      <w:tr>
        <w:tblPrEx>
          <w:tblCellMar>
            <w:top w:w="0" w:type="dxa"/>
            <w:left w:w="108" w:type="dxa"/>
            <w:bottom w:w="0" w:type="dxa"/>
            <w:right w:w="108" w:type="dxa"/>
          </w:tblCellMar>
        </w:tblPrEx>
        <w:trPr>
          <w:trHeight w:val="1248" w:hRule="atLeast"/>
        </w:trPr>
        <w:tc>
          <w:tcPr>
            <w:tcW w:w="1413" w:type="dxa"/>
            <w:tcBorders>
              <w:top w:val="nil"/>
              <w:left w:val="single" w:color="auto" w:sz="4" w:space="0"/>
              <w:bottom w:val="single" w:color="auto" w:sz="4" w:space="0"/>
              <w:right w:val="single" w:color="auto" w:sz="4" w:space="0"/>
            </w:tcBorders>
            <w:shd w:val="clear" w:color="auto" w:fill="auto"/>
            <w:noWrap/>
            <w:vAlign w:val="center"/>
          </w:tcPr>
          <w:p>
            <w:pPr>
              <w:jc w:val="center"/>
              <w:rPr>
                <w:rFonts w:hint="eastAsia" w:ascii="宋体" w:hAnsi="宋体" w:eastAsia="宋体" w:cs="宋体"/>
                <w:color w:val="000000"/>
                <w:kern w:val="0"/>
              </w:rPr>
            </w:pPr>
            <w:r>
              <w:rPr>
                <w:rFonts w:hint="eastAsia" w:ascii="宋体" w:hAnsi="宋体" w:eastAsia="宋体" w:cs="宋体"/>
                <w:color w:val="000000"/>
                <w:kern w:val="0"/>
              </w:rPr>
              <w:t>服务内容</w:t>
            </w:r>
          </w:p>
        </w:tc>
        <w:tc>
          <w:tcPr>
            <w:tcW w:w="8111" w:type="dxa"/>
            <w:tcBorders>
              <w:top w:val="nil"/>
              <w:left w:val="nil"/>
              <w:bottom w:val="single" w:color="auto" w:sz="4" w:space="0"/>
              <w:right w:val="single" w:color="auto" w:sz="4" w:space="0"/>
            </w:tcBorders>
            <w:shd w:val="clear" w:color="auto" w:fill="auto"/>
            <w:noWrap/>
            <w:vAlign w:val="center"/>
          </w:tcPr>
          <w:p>
            <w:pPr>
              <w:rPr>
                <w:rFonts w:hint="eastAsia" w:ascii="宋体" w:hAnsi="宋体" w:eastAsia="宋体" w:cs="宋体"/>
                <w:color w:val="000000"/>
                <w:kern w:val="0"/>
              </w:rPr>
            </w:pPr>
            <w:r>
              <w:rPr>
                <w:rFonts w:hint="eastAsia" w:ascii="宋体" w:hAnsi="宋体" w:eastAsia="宋体" w:cs="宋体"/>
                <w:color w:val="auto"/>
                <w:kern w:val="0"/>
              </w:rPr>
              <w:t>针对医院HIS、EMRS、PACS、CDR、MDR、电子病历文书库等核心业务数据库系统，</w:t>
            </w:r>
            <w:r>
              <w:rPr>
                <w:rFonts w:hint="eastAsia" w:ascii="宋体" w:hAnsi="宋体" w:eastAsia="宋体" w:cs="宋体"/>
                <w:color w:val="auto"/>
                <w:kern w:val="0"/>
                <w:lang w:eastAsia="zh-CN"/>
              </w:rPr>
              <w:t>服务商</w:t>
            </w:r>
            <w:r>
              <w:rPr>
                <w:rFonts w:hint="eastAsia" w:ascii="宋体" w:hAnsi="宋体" w:eastAsia="宋体" w:cs="宋体"/>
                <w:color w:val="auto"/>
                <w:kern w:val="0"/>
              </w:rPr>
              <w:t>应定期开展备份数据演练和数据有效性检查等工作，每月做一次灾备验证记录、每季度做一次重要系统备份数据恢复验证。</w:t>
            </w:r>
          </w:p>
        </w:tc>
      </w:tr>
      <w:tr>
        <w:tblPrEx>
          <w:tblCellMar>
            <w:top w:w="0" w:type="dxa"/>
            <w:left w:w="108" w:type="dxa"/>
            <w:bottom w:w="0" w:type="dxa"/>
            <w:right w:w="108" w:type="dxa"/>
          </w:tblCellMar>
        </w:tblPrEx>
        <w:trPr>
          <w:trHeight w:val="312" w:hRule="atLeast"/>
        </w:trPr>
        <w:tc>
          <w:tcPr>
            <w:tcW w:w="1413" w:type="dxa"/>
            <w:vMerge w:val="restart"/>
            <w:tcBorders>
              <w:top w:val="nil"/>
              <w:left w:val="single" w:color="auto" w:sz="4" w:space="0"/>
              <w:bottom w:val="single" w:color="auto" w:sz="4" w:space="0"/>
              <w:right w:val="single" w:color="auto" w:sz="4" w:space="0"/>
            </w:tcBorders>
            <w:shd w:val="clear" w:color="auto" w:fill="auto"/>
            <w:noWrap/>
            <w:vAlign w:val="center"/>
          </w:tcPr>
          <w:p>
            <w:pPr>
              <w:jc w:val="both"/>
              <w:rPr>
                <w:rFonts w:hint="eastAsia" w:ascii="宋体" w:hAnsi="宋体" w:eastAsia="宋体" w:cs="宋体"/>
                <w:color w:val="000000"/>
                <w:kern w:val="0"/>
              </w:rPr>
            </w:pPr>
            <w:r>
              <w:rPr>
                <w:rFonts w:hint="eastAsia" w:ascii="宋体" w:hAnsi="宋体" w:eastAsia="宋体" w:cs="宋体"/>
                <w:color w:val="000000"/>
                <w:kern w:val="0"/>
              </w:rPr>
              <w:t>服务成果</w:t>
            </w:r>
          </w:p>
        </w:tc>
        <w:tc>
          <w:tcPr>
            <w:tcW w:w="8111" w:type="dxa"/>
            <w:tcBorders>
              <w:top w:val="nil"/>
              <w:left w:val="nil"/>
              <w:bottom w:val="single" w:color="auto" w:sz="4" w:space="0"/>
              <w:right w:val="single" w:color="auto" w:sz="4" w:space="0"/>
            </w:tcBorders>
            <w:shd w:val="clear" w:color="auto" w:fill="auto"/>
            <w:noWrap/>
            <w:vAlign w:val="center"/>
          </w:tcPr>
          <w:p>
            <w:pPr>
              <w:rPr>
                <w:rFonts w:hint="eastAsia" w:ascii="宋体" w:hAnsi="宋体" w:eastAsia="宋体" w:cs="宋体"/>
                <w:color w:val="000000"/>
                <w:kern w:val="0"/>
              </w:rPr>
            </w:pPr>
            <w:r>
              <w:rPr>
                <w:rFonts w:hint="eastAsia" w:ascii="宋体" w:hAnsi="宋体" w:eastAsia="宋体" w:cs="宋体"/>
                <w:color w:val="000000"/>
                <w:kern w:val="0"/>
              </w:rPr>
              <w:t>输出文档：每月灾备库验证记录表。</w:t>
            </w:r>
          </w:p>
        </w:tc>
      </w:tr>
      <w:tr>
        <w:tblPrEx>
          <w:tblCellMar>
            <w:top w:w="0" w:type="dxa"/>
            <w:left w:w="108" w:type="dxa"/>
            <w:bottom w:w="0" w:type="dxa"/>
            <w:right w:w="108" w:type="dxa"/>
          </w:tblCellMar>
        </w:tblPrEx>
        <w:trPr>
          <w:trHeight w:val="312" w:hRule="atLeast"/>
        </w:trPr>
        <w:tc>
          <w:tcPr>
            <w:tcW w:w="1413" w:type="dxa"/>
            <w:vMerge w:val="continue"/>
            <w:tcBorders>
              <w:top w:val="nil"/>
              <w:left w:val="single" w:color="auto" w:sz="4" w:space="0"/>
              <w:bottom w:val="single" w:color="auto" w:sz="4" w:space="0"/>
              <w:right w:val="single" w:color="auto" w:sz="4" w:space="0"/>
            </w:tcBorders>
            <w:vAlign w:val="center"/>
          </w:tcPr>
          <w:p>
            <w:pPr>
              <w:jc w:val="left"/>
              <w:rPr>
                <w:rFonts w:hint="eastAsia" w:ascii="宋体" w:hAnsi="宋体" w:eastAsia="宋体" w:cs="宋体"/>
                <w:color w:val="000000"/>
                <w:kern w:val="0"/>
              </w:rPr>
            </w:pPr>
          </w:p>
        </w:tc>
        <w:tc>
          <w:tcPr>
            <w:tcW w:w="8111" w:type="dxa"/>
            <w:tcBorders>
              <w:top w:val="nil"/>
              <w:left w:val="nil"/>
              <w:bottom w:val="single" w:color="auto" w:sz="4" w:space="0"/>
              <w:right w:val="single" w:color="auto" w:sz="4" w:space="0"/>
            </w:tcBorders>
            <w:shd w:val="clear" w:color="auto" w:fill="auto"/>
            <w:noWrap/>
            <w:vAlign w:val="center"/>
          </w:tcPr>
          <w:p>
            <w:pPr>
              <w:rPr>
                <w:rFonts w:hint="eastAsia" w:ascii="宋体" w:hAnsi="宋体" w:eastAsia="宋体" w:cs="宋体"/>
                <w:color w:val="000000"/>
                <w:kern w:val="0"/>
              </w:rPr>
            </w:pPr>
            <w:r>
              <w:rPr>
                <w:rFonts w:hint="eastAsia" w:ascii="宋体" w:hAnsi="宋体" w:eastAsia="宋体" w:cs="宋体"/>
                <w:color w:val="000000"/>
                <w:kern w:val="0"/>
              </w:rPr>
              <w:t>输出文档：每季度重要系统备份数据恢复验证记录。</w:t>
            </w:r>
          </w:p>
        </w:tc>
      </w:tr>
      <w:tr>
        <w:tblPrEx>
          <w:tblCellMar>
            <w:top w:w="0" w:type="dxa"/>
            <w:left w:w="108" w:type="dxa"/>
            <w:bottom w:w="0" w:type="dxa"/>
            <w:right w:w="108" w:type="dxa"/>
          </w:tblCellMar>
        </w:tblPrEx>
        <w:trPr>
          <w:trHeight w:val="312" w:hRule="atLeast"/>
        </w:trPr>
        <w:tc>
          <w:tcPr>
            <w:tcW w:w="1413"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color w:val="000000"/>
                <w:kern w:val="0"/>
              </w:rPr>
            </w:pPr>
            <w:r>
              <w:rPr>
                <w:rFonts w:hint="eastAsia" w:ascii="宋体" w:hAnsi="宋体" w:eastAsia="宋体" w:cs="宋体"/>
                <w:color w:val="000000"/>
                <w:kern w:val="0"/>
              </w:rPr>
              <w:t>服务能力</w:t>
            </w:r>
          </w:p>
        </w:tc>
        <w:tc>
          <w:tcPr>
            <w:tcW w:w="8111" w:type="dxa"/>
            <w:tcBorders>
              <w:top w:val="single" w:color="auto" w:sz="4" w:space="0"/>
              <w:left w:val="nil"/>
              <w:bottom w:val="single" w:color="auto" w:sz="4" w:space="0"/>
              <w:right w:val="single" w:color="auto" w:sz="4" w:space="0"/>
            </w:tcBorders>
            <w:shd w:val="clear" w:color="auto" w:fill="auto"/>
            <w:noWrap/>
            <w:vAlign w:val="center"/>
          </w:tcPr>
          <w:p>
            <w:pPr>
              <w:rPr>
                <w:rFonts w:hint="eastAsia" w:ascii="宋体" w:hAnsi="宋体" w:eastAsia="宋体" w:cs="宋体"/>
                <w:color w:val="000000"/>
                <w:kern w:val="0"/>
              </w:rPr>
            </w:pPr>
            <w:r>
              <w:rPr>
                <w:rFonts w:hint="eastAsia" w:ascii="宋体" w:hAnsi="宋体" w:eastAsia="宋体" w:cs="宋体"/>
                <w:color w:val="000000"/>
                <w:kern w:val="0"/>
              </w:rPr>
              <w:t>提供数据库服务工程师要求具有OCP数据库认证工程师，投标时提供技术人员证书复印及社保证明</w:t>
            </w:r>
          </w:p>
        </w:tc>
      </w:tr>
    </w:tbl>
    <w:p>
      <w:pPr>
        <w:rPr>
          <w:rFonts w:hint="eastAsia" w:ascii="宋体" w:hAnsi="宋体" w:eastAsia="宋体" w:cs="宋体"/>
          <w:color w:val="000000"/>
          <w:szCs w:val="21"/>
        </w:rPr>
      </w:pPr>
    </w:p>
    <w:p>
      <w:pPr>
        <w:pStyle w:val="5"/>
        <w:rPr>
          <w:rFonts w:hint="eastAsia" w:ascii="宋体" w:hAnsi="宋体" w:eastAsia="宋体" w:cs="宋体"/>
        </w:rPr>
      </w:pPr>
      <w:bookmarkStart w:id="17" w:name="_Toc192247518"/>
      <w:bookmarkStart w:id="18" w:name="_Toc176253221"/>
      <w:r>
        <w:rPr>
          <w:rFonts w:hint="eastAsia" w:ascii="宋体" w:hAnsi="宋体" w:eastAsia="宋体" w:cs="宋体"/>
        </w:rPr>
        <w:t>3.2.7.ORACLE数据库维保服务</w:t>
      </w:r>
      <w:bookmarkEnd w:id="17"/>
      <w:bookmarkEnd w:id="18"/>
    </w:p>
    <w:p>
      <w:pPr>
        <w:pStyle w:val="6"/>
        <w:tabs>
          <w:tab w:val="clear" w:pos="864"/>
        </w:tabs>
        <w:ind w:firstLine="0"/>
        <w:rPr>
          <w:rFonts w:hint="eastAsia" w:ascii="宋体" w:hAnsi="宋体" w:eastAsia="宋体" w:cs="宋体"/>
        </w:rPr>
      </w:pPr>
      <w:bookmarkStart w:id="19" w:name="_Toc176253222"/>
      <w:r>
        <w:rPr>
          <w:rFonts w:hint="eastAsia" w:ascii="宋体" w:hAnsi="宋体" w:eastAsia="宋体" w:cs="宋体"/>
        </w:rPr>
        <w:t>3.2.7.1.</w:t>
      </w:r>
      <w:r>
        <w:rPr>
          <w:rFonts w:hint="eastAsia" w:ascii="宋体" w:hAnsi="宋体" w:eastAsia="宋体" w:cs="宋体"/>
          <w:lang w:val="en-US" w:eastAsia="zh-CN"/>
        </w:rPr>
        <w:t>运维</w:t>
      </w:r>
      <w:r>
        <w:rPr>
          <w:rFonts w:hint="eastAsia" w:ascii="宋体" w:hAnsi="宋体" w:eastAsia="宋体" w:cs="宋体"/>
        </w:rPr>
        <w:t>服务范围</w:t>
      </w:r>
      <w:bookmarkEnd w:id="19"/>
    </w:p>
    <w:p>
      <w:pPr>
        <w:spacing w:line="360" w:lineRule="auto"/>
        <w:ind w:left="1050" w:leftChars="200" w:hanging="630" w:hangingChars="300"/>
        <w:rPr>
          <w:rFonts w:hint="eastAsia" w:ascii="宋体" w:hAnsi="宋体" w:eastAsia="宋体" w:cs="宋体"/>
          <w:color w:val="auto"/>
          <w:szCs w:val="21"/>
        </w:rPr>
      </w:pPr>
      <w:r>
        <w:rPr>
          <w:rFonts w:hint="eastAsia" w:ascii="宋体" w:hAnsi="宋体" w:eastAsia="宋体" w:cs="宋体"/>
          <w:color w:val="000000"/>
          <w:szCs w:val="21"/>
        </w:rPr>
        <w:t>本次数据库维保服务针对湖州市第三人民医院数据中心</w:t>
      </w:r>
      <w:r>
        <w:rPr>
          <w:rFonts w:hint="eastAsia" w:ascii="宋体" w:hAnsi="宋体" w:eastAsia="宋体" w:cs="宋体"/>
          <w:color w:val="auto"/>
          <w:szCs w:val="21"/>
        </w:rPr>
        <w:t>HIS、EMRS、PACS、CDR、电子病历文书库等核心业务数据库，维保服务期限一年。</w:t>
      </w:r>
    </w:p>
    <w:p>
      <w:pPr>
        <w:spacing w:line="360" w:lineRule="auto"/>
        <w:ind w:firstLine="420" w:firstLineChars="200"/>
        <w:rPr>
          <w:rFonts w:hint="eastAsia" w:ascii="宋体" w:hAnsi="宋体" w:eastAsia="宋体" w:cs="宋体"/>
          <w:color w:val="000000"/>
          <w:szCs w:val="21"/>
        </w:rPr>
      </w:pPr>
      <w:r>
        <w:rPr>
          <w:rFonts w:hint="eastAsia" w:ascii="宋体" w:hAnsi="宋体" w:eastAsia="宋体" w:cs="宋体"/>
          <w:color w:val="000000"/>
          <w:szCs w:val="21"/>
          <w:lang w:val="en-US" w:eastAsia="zh-CN"/>
        </w:rPr>
        <w:t>具体</w:t>
      </w:r>
      <w:r>
        <w:rPr>
          <w:rFonts w:hint="eastAsia" w:ascii="宋体" w:hAnsi="宋体" w:eastAsia="宋体" w:cs="宋体"/>
          <w:color w:val="000000"/>
          <w:szCs w:val="21"/>
        </w:rPr>
        <w:t>服务内容包括：</w:t>
      </w:r>
    </w:p>
    <w:p>
      <w:pPr>
        <w:spacing w:line="360" w:lineRule="auto"/>
        <w:ind w:firstLine="420" w:firstLineChars="200"/>
        <w:rPr>
          <w:rFonts w:hint="eastAsia" w:ascii="宋体" w:hAnsi="宋体" w:eastAsia="宋体" w:cs="宋体"/>
          <w:color w:val="000000"/>
          <w:szCs w:val="21"/>
          <w:lang w:eastAsia="zh-CN"/>
        </w:rPr>
      </w:pPr>
      <w:r>
        <w:rPr>
          <w:rFonts w:hint="eastAsia" w:ascii="宋体" w:hAnsi="宋体" w:eastAsia="宋体" w:cs="宋体"/>
          <w:color w:val="000000"/>
          <w:szCs w:val="21"/>
          <w:lang w:val="en-US" w:eastAsia="zh-CN"/>
        </w:rPr>
        <w:t>1、</w:t>
      </w:r>
      <w:r>
        <w:rPr>
          <w:rFonts w:hint="eastAsia" w:ascii="宋体" w:hAnsi="宋体" w:eastAsia="宋体" w:cs="宋体"/>
          <w:color w:val="000000"/>
          <w:szCs w:val="21"/>
        </w:rPr>
        <w:t>数据库系统、数据库容灾系统技术支持服务</w:t>
      </w:r>
      <w:r>
        <w:rPr>
          <w:rFonts w:hint="eastAsia" w:ascii="宋体" w:hAnsi="宋体" w:eastAsia="宋体" w:cs="宋体"/>
          <w:color w:val="000000"/>
          <w:szCs w:val="21"/>
          <w:lang w:eastAsia="zh-CN"/>
        </w:rPr>
        <w:t>；</w:t>
      </w:r>
    </w:p>
    <w:p>
      <w:pPr>
        <w:spacing w:line="360" w:lineRule="auto"/>
        <w:ind w:firstLine="420" w:firstLineChars="200"/>
        <w:rPr>
          <w:rFonts w:hint="eastAsia" w:ascii="宋体" w:hAnsi="宋体" w:eastAsia="宋体" w:cs="宋体"/>
          <w:color w:val="000000"/>
          <w:szCs w:val="21"/>
          <w:lang w:eastAsia="zh-CN"/>
        </w:rPr>
      </w:pPr>
      <w:r>
        <w:rPr>
          <w:rFonts w:hint="eastAsia" w:ascii="宋体" w:hAnsi="宋体" w:eastAsia="宋体" w:cs="宋体"/>
          <w:color w:val="000000"/>
          <w:szCs w:val="21"/>
          <w:lang w:val="en-US" w:eastAsia="zh-CN"/>
        </w:rPr>
        <w:t>2、</w:t>
      </w:r>
      <w:r>
        <w:rPr>
          <w:rFonts w:hint="eastAsia" w:ascii="宋体" w:hAnsi="宋体" w:eastAsia="宋体" w:cs="宋体"/>
          <w:color w:val="000000"/>
          <w:szCs w:val="21"/>
        </w:rPr>
        <w:t>数据库主机硬件系统技术支持服务</w:t>
      </w:r>
      <w:r>
        <w:rPr>
          <w:rFonts w:hint="eastAsia" w:ascii="宋体" w:hAnsi="宋体" w:eastAsia="宋体" w:cs="宋体"/>
          <w:color w:val="000000"/>
          <w:szCs w:val="21"/>
          <w:lang w:eastAsia="zh-CN"/>
        </w:rPr>
        <w:t>；</w:t>
      </w:r>
    </w:p>
    <w:p>
      <w:pPr>
        <w:spacing w:line="360" w:lineRule="auto"/>
        <w:ind w:firstLine="420" w:firstLineChars="200"/>
        <w:rPr>
          <w:rFonts w:hint="eastAsia" w:ascii="宋体" w:hAnsi="宋体" w:eastAsia="宋体" w:cs="宋体"/>
          <w:color w:val="000000"/>
          <w:szCs w:val="21"/>
          <w:lang w:eastAsia="zh-CN"/>
        </w:rPr>
      </w:pPr>
      <w:r>
        <w:rPr>
          <w:rFonts w:hint="eastAsia" w:ascii="宋体" w:hAnsi="宋体" w:eastAsia="宋体" w:cs="宋体"/>
          <w:color w:val="000000"/>
          <w:szCs w:val="21"/>
          <w:lang w:val="en-US" w:eastAsia="zh-CN"/>
        </w:rPr>
        <w:t>3、</w:t>
      </w:r>
      <w:r>
        <w:rPr>
          <w:rFonts w:hint="eastAsia" w:ascii="宋体" w:hAnsi="宋体" w:eastAsia="宋体" w:cs="宋体"/>
          <w:color w:val="000000"/>
          <w:szCs w:val="21"/>
        </w:rPr>
        <w:t>7*24小时应急远程、现场响应支持服务</w:t>
      </w:r>
      <w:r>
        <w:rPr>
          <w:rFonts w:hint="eastAsia" w:ascii="宋体" w:hAnsi="宋体" w:eastAsia="宋体" w:cs="宋体"/>
          <w:color w:val="000000"/>
          <w:szCs w:val="21"/>
          <w:lang w:eastAsia="zh-CN"/>
        </w:rPr>
        <w:t>；</w:t>
      </w:r>
    </w:p>
    <w:p>
      <w:pPr>
        <w:spacing w:line="360" w:lineRule="auto"/>
        <w:ind w:firstLine="420" w:firstLineChars="200"/>
        <w:rPr>
          <w:rFonts w:hint="eastAsia" w:ascii="宋体" w:hAnsi="宋体" w:eastAsia="宋体" w:cs="宋体"/>
          <w:color w:val="000000"/>
          <w:szCs w:val="21"/>
          <w:lang w:eastAsia="zh-CN"/>
        </w:rPr>
      </w:pPr>
      <w:r>
        <w:rPr>
          <w:rFonts w:hint="eastAsia" w:ascii="宋体" w:hAnsi="宋体" w:eastAsia="宋体" w:cs="宋体"/>
          <w:color w:val="000000"/>
          <w:szCs w:val="21"/>
          <w:lang w:val="en-US" w:eastAsia="zh-CN"/>
        </w:rPr>
        <w:t>4、</w:t>
      </w:r>
      <w:r>
        <w:rPr>
          <w:rFonts w:hint="eastAsia" w:ascii="宋体" w:hAnsi="宋体" w:eastAsia="宋体" w:cs="宋体"/>
          <w:color w:val="000000"/>
          <w:szCs w:val="21"/>
        </w:rPr>
        <w:t>系统灾难性故障应急支持</w:t>
      </w:r>
      <w:r>
        <w:rPr>
          <w:rFonts w:hint="eastAsia" w:ascii="宋体" w:hAnsi="宋体" w:eastAsia="宋体" w:cs="宋体"/>
          <w:color w:val="000000"/>
          <w:szCs w:val="21"/>
          <w:lang w:eastAsia="zh-CN"/>
        </w:rPr>
        <w:t>；</w:t>
      </w:r>
    </w:p>
    <w:p>
      <w:pPr>
        <w:spacing w:line="360" w:lineRule="auto"/>
        <w:ind w:firstLine="420" w:firstLineChars="200"/>
        <w:rPr>
          <w:rFonts w:hint="eastAsia" w:ascii="宋体" w:hAnsi="宋体" w:eastAsia="宋体" w:cs="宋体"/>
          <w:color w:val="000000"/>
          <w:szCs w:val="21"/>
          <w:lang w:eastAsia="zh-CN"/>
        </w:rPr>
      </w:pPr>
      <w:r>
        <w:rPr>
          <w:rFonts w:hint="eastAsia" w:ascii="宋体" w:hAnsi="宋体" w:eastAsia="宋体" w:cs="宋体"/>
          <w:color w:val="000000"/>
          <w:szCs w:val="21"/>
          <w:lang w:val="en-US" w:eastAsia="zh-CN"/>
        </w:rPr>
        <w:t>5、</w:t>
      </w:r>
      <w:r>
        <w:rPr>
          <w:rFonts w:hint="eastAsia" w:ascii="宋体" w:hAnsi="宋体" w:eastAsia="宋体" w:cs="宋体"/>
          <w:color w:val="000000"/>
          <w:szCs w:val="21"/>
        </w:rPr>
        <w:t>数据库日常巡检服务</w:t>
      </w:r>
      <w:r>
        <w:rPr>
          <w:rFonts w:hint="eastAsia" w:ascii="宋体" w:hAnsi="宋体" w:eastAsia="宋体" w:cs="宋体"/>
          <w:color w:val="000000"/>
          <w:szCs w:val="21"/>
          <w:lang w:eastAsia="zh-CN"/>
        </w:rPr>
        <w:t>；</w:t>
      </w:r>
    </w:p>
    <w:p>
      <w:pPr>
        <w:spacing w:line="360" w:lineRule="auto"/>
        <w:ind w:firstLine="420" w:firstLineChars="200"/>
        <w:rPr>
          <w:rFonts w:hint="eastAsia" w:ascii="宋体" w:hAnsi="宋体" w:eastAsia="宋体" w:cs="宋体"/>
          <w:color w:val="000000"/>
          <w:szCs w:val="21"/>
          <w:lang w:eastAsia="zh-CN"/>
        </w:rPr>
      </w:pPr>
      <w:r>
        <w:rPr>
          <w:rFonts w:hint="eastAsia" w:ascii="宋体" w:hAnsi="宋体" w:eastAsia="宋体" w:cs="宋体"/>
          <w:color w:val="000000"/>
          <w:szCs w:val="21"/>
          <w:lang w:val="en-US" w:eastAsia="zh-CN"/>
        </w:rPr>
        <w:t>6、</w:t>
      </w:r>
      <w:r>
        <w:rPr>
          <w:rFonts w:hint="eastAsia" w:ascii="宋体" w:hAnsi="宋体" w:eastAsia="宋体" w:cs="宋体"/>
          <w:color w:val="000000"/>
          <w:szCs w:val="21"/>
        </w:rPr>
        <w:t>协助完善数据库系统日常运维</w:t>
      </w:r>
      <w:r>
        <w:rPr>
          <w:rFonts w:hint="eastAsia" w:ascii="宋体" w:hAnsi="宋体" w:eastAsia="宋体" w:cs="宋体"/>
          <w:color w:val="000000"/>
          <w:szCs w:val="21"/>
          <w:lang w:eastAsia="zh-CN"/>
        </w:rPr>
        <w:t>；</w:t>
      </w:r>
    </w:p>
    <w:p>
      <w:pPr>
        <w:spacing w:line="360" w:lineRule="auto"/>
        <w:ind w:firstLine="420" w:firstLineChars="200"/>
        <w:rPr>
          <w:rFonts w:hint="eastAsia" w:ascii="宋体" w:hAnsi="宋体" w:eastAsia="宋体" w:cs="宋体"/>
          <w:color w:val="000000"/>
          <w:szCs w:val="21"/>
          <w:lang w:eastAsia="zh-CN"/>
        </w:rPr>
      </w:pPr>
      <w:r>
        <w:rPr>
          <w:rFonts w:hint="eastAsia" w:ascii="宋体" w:hAnsi="宋体" w:eastAsia="宋体" w:cs="宋体"/>
          <w:color w:val="000000"/>
          <w:szCs w:val="21"/>
          <w:lang w:val="en-US" w:eastAsia="zh-CN"/>
        </w:rPr>
        <w:t>7、</w:t>
      </w:r>
      <w:r>
        <w:rPr>
          <w:rFonts w:hint="eastAsia" w:ascii="宋体" w:hAnsi="宋体" w:eastAsia="宋体" w:cs="宋体"/>
          <w:color w:val="000000"/>
          <w:szCs w:val="21"/>
        </w:rPr>
        <w:t>数据库性能优化</w:t>
      </w:r>
      <w:r>
        <w:rPr>
          <w:rFonts w:hint="eastAsia" w:ascii="宋体" w:hAnsi="宋体" w:eastAsia="宋体" w:cs="宋体"/>
          <w:color w:val="000000"/>
          <w:szCs w:val="21"/>
          <w:lang w:eastAsia="zh-CN"/>
        </w:rPr>
        <w:t>；</w:t>
      </w:r>
    </w:p>
    <w:p>
      <w:pPr>
        <w:pStyle w:val="6"/>
        <w:tabs>
          <w:tab w:val="clear" w:pos="864"/>
        </w:tabs>
        <w:ind w:firstLine="0"/>
        <w:rPr>
          <w:rFonts w:hint="eastAsia" w:ascii="宋体" w:hAnsi="宋体" w:eastAsia="宋体" w:cs="宋体"/>
        </w:rPr>
      </w:pPr>
      <w:bookmarkStart w:id="20" w:name="_Toc176253223"/>
      <w:r>
        <w:rPr>
          <w:rFonts w:hint="eastAsia" w:ascii="宋体" w:hAnsi="宋体" w:eastAsia="宋体" w:cs="宋体"/>
        </w:rPr>
        <w:t>3.2.7.2.维护服务内容</w:t>
      </w:r>
      <w:bookmarkEnd w:id="20"/>
    </w:p>
    <w:p>
      <w:pPr>
        <w:pStyle w:val="51"/>
        <w:numPr>
          <w:ilvl w:val="0"/>
          <w:numId w:val="5"/>
        </w:numPr>
        <w:autoSpaceDE w:val="0"/>
        <w:autoSpaceDN w:val="0"/>
        <w:spacing w:line="600" w:lineRule="exact"/>
        <w:ind w:firstLineChars="0"/>
        <w:rPr>
          <w:rFonts w:hint="eastAsia" w:ascii="宋体" w:hAnsi="宋体" w:eastAsia="宋体" w:cs="宋体"/>
          <w:b/>
          <w:bCs/>
          <w:kern w:val="0"/>
          <w:lang w:val="zh-CN" w:bidi="zh-CN"/>
        </w:rPr>
      </w:pPr>
      <w:bookmarkStart w:id="21" w:name="_Toc88126939"/>
      <w:r>
        <w:rPr>
          <w:rFonts w:hint="eastAsia" w:ascii="宋体" w:hAnsi="宋体" w:eastAsia="宋体" w:cs="宋体"/>
          <w:b/>
          <w:bCs/>
          <w:kern w:val="0"/>
          <w:lang w:val="zh-CN" w:bidi="zh-CN"/>
        </w:rPr>
        <w:t>数据库标准服务</w:t>
      </w:r>
      <w:bookmarkEnd w:id="21"/>
    </w:p>
    <w:tbl>
      <w:tblPr>
        <w:tblStyle w:val="29"/>
        <w:tblW w:w="9701" w:type="dxa"/>
        <w:tblInd w:w="0" w:type="dxa"/>
        <w:tblLayout w:type="autofit"/>
        <w:tblCellMar>
          <w:top w:w="0" w:type="dxa"/>
          <w:left w:w="108" w:type="dxa"/>
          <w:bottom w:w="0" w:type="dxa"/>
          <w:right w:w="108" w:type="dxa"/>
        </w:tblCellMar>
      </w:tblPr>
      <w:tblGrid>
        <w:gridCol w:w="2837"/>
        <w:gridCol w:w="6864"/>
      </w:tblGrid>
      <w:tr>
        <w:tblPrEx>
          <w:tblCellMar>
            <w:top w:w="0" w:type="dxa"/>
            <w:left w:w="108" w:type="dxa"/>
            <w:bottom w:w="0" w:type="dxa"/>
            <w:right w:w="108" w:type="dxa"/>
          </w:tblCellMar>
        </w:tblPrEx>
        <w:trPr>
          <w:trHeight w:val="276" w:hRule="atLeast"/>
        </w:trPr>
        <w:tc>
          <w:tcPr>
            <w:tcW w:w="2837"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内容</w:t>
            </w:r>
          </w:p>
        </w:tc>
        <w:tc>
          <w:tcPr>
            <w:tcW w:w="6864" w:type="dxa"/>
            <w:tcBorders>
              <w:top w:val="single" w:color="auto" w:sz="4" w:space="0"/>
              <w:left w:val="nil"/>
              <w:bottom w:val="single" w:color="auto" w:sz="4" w:space="0"/>
              <w:right w:val="single" w:color="auto" w:sz="4" w:space="0"/>
            </w:tcBorders>
            <w:shd w:val="clear" w:color="auto" w:fill="auto"/>
            <w:vAlign w:val="center"/>
          </w:tcPr>
          <w:p>
            <w:pPr>
              <w:jc w:val="center"/>
              <w:rPr>
                <w:rFonts w:hint="eastAsia" w:ascii="宋体" w:hAnsi="宋体" w:eastAsia="宋体" w:cs="宋体"/>
                <w:b/>
              </w:rPr>
            </w:pPr>
            <w:r>
              <w:rPr>
                <w:rFonts w:hint="eastAsia" w:ascii="宋体" w:hAnsi="宋体" w:eastAsia="宋体" w:cs="宋体"/>
              </w:rPr>
              <w:t>服务说明</w:t>
            </w:r>
          </w:p>
        </w:tc>
      </w:tr>
      <w:tr>
        <w:tblPrEx>
          <w:tblCellMar>
            <w:top w:w="0" w:type="dxa"/>
            <w:left w:w="108" w:type="dxa"/>
            <w:bottom w:w="0" w:type="dxa"/>
            <w:right w:w="108" w:type="dxa"/>
          </w:tblCellMar>
        </w:tblPrEx>
        <w:trPr>
          <w:trHeight w:val="504" w:hRule="atLeast"/>
        </w:trPr>
        <w:tc>
          <w:tcPr>
            <w:tcW w:w="2837" w:type="dxa"/>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数据库7*24小时远程故障处理、咨询服务</w:t>
            </w:r>
          </w:p>
        </w:tc>
        <w:tc>
          <w:tcPr>
            <w:tcW w:w="6864" w:type="dxa"/>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通过电话、QQ、VPN、邮件等方式处理故障或者接受咨询，每次故障解决后提供故障报告。</w:t>
            </w:r>
          </w:p>
        </w:tc>
      </w:tr>
      <w:tr>
        <w:tblPrEx>
          <w:tblCellMar>
            <w:top w:w="0" w:type="dxa"/>
            <w:left w:w="108" w:type="dxa"/>
            <w:bottom w:w="0" w:type="dxa"/>
            <w:right w:w="108" w:type="dxa"/>
          </w:tblCellMar>
        </w:tblPrEx>
        <w:trPr>
          <w:trHeight w:val="480" w:hRule="atLeast"/>
        </w:trPr>
        <w:tc>
          <w:tcPr>
            <w:tcW w:w="2837" w:type="dxa"/>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数据库现场应急保障支持服务</w:t>
            </w:r>
          </w:p>
        </w:tc>
        <w:tc>
          <w:tcPr>
            <w:tcW w:w="6864" w:type="dxa"/>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适用于数据库重大变更，如重要业务上线护航，数据库迁移支持，数据库升级，数据库恢复演练等</w:t>
            </w:r>
          </w:p>
        </w:tc>
      </w:tr>
      <w:tr>
        <w:tblPrEx>
          <w:tblCellMar>
            <w:top w:w="0" w:type="dxa"/>
            <w:left w:w="108" w:type="dxa"/>
            <w:bottom w:w="0" w:type="dxa"/>
            <w:right w:w="108" w:type="dxa"/>
          </w:tblCellMar>
        </w:tblPrEx>
        <w:trPr>
          <w:trHeight w:val="480" w:hRule="atLeast"/>
        </w:trPr>
        <w:tc>
          <w:tcPr>
            <w:tcW w:w="2837" w:type="dxa"/>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紧急故障处理（灾难恢复）</w:t>
            </w:r>
          </w:p>
        </w:tc>
        <w:tc>
          <w:tcPr>
            <w:tcW w:w="6864" w:type="dxa"/>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适用于于因硬件、软件或人为等各种原因造成的客户系统不能正常工作，严重影响正常的生产的故障，</w:t>
            </w:r>
            <w:r>
              <w:rPr>
                <w:rFonts w:hint="eastAsia" w:ascii="宋体" w:hAnsi="宋体" w:eastAsia="宋体" w:cs="宋体"/>
                <w:lang w:eastAsia="zh-CN"/>
              </w:rPr>
              <w:t>服务商</w:t>
            </w:r>
            <w:r>
              <w:rPr>
                <w:rFonts w:hint="eastAsia" w:ascii="宋体" w:hAnsi="宋体" w:eastAsia="宋体" w:cs="宋体"/>
              </w:rPr>
              <w:t>式为现场。</w:t>
            </w:r>
          </w:p>
        </w:tc>
      </w:tr>
      <w:tr>
        <w:tblPrEx>
          <w:tblCellMar>
            <w:top w:w="0" w:type="dxa"/>
            <w:left w:w="108" w:type="dxa"/>
            <w:bottom w:w="0" w:type="dxa"/>
            <w:right w:w="108" w:type="dxa"/>
          </w:tblCellMar>
        </w:tblPrEx>
        <w:trPr>
          <w:trHeight w:val="504" w:hRule="atLeast"/>
        </w:trPr>
        <w:tc>
          <w:tcPr>
            <w:tcW w:w="2837" w:type="dxa"/>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数据库月度资源监控报告</w:t>
            </w:r>
          </w:p>
        </w:tc>
        <w:tc>
          <w:tcPr>
            <w:tcW w:w="6864" w:type="dxa"/>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每月提供数据库资源运行情况报告，主要监控资源为以实例为单位的CPU,IO，硬盘空间以及内存使用情况。</w:t>
            </w:r>
          </w:p>
        </w:tc>
      </w:tr>
      <w:tr>
        <w:tblPrEx>
          <w:tblCellMar>
            <w:top w:w="0" w:type="dxa"/>
            <w:left w:w="108" w:type="dxa"/>
            <w:bottom w:w="0" w:type="dxa"/>
            <w:right w:w="108" w:type="dxa"/>
          </w:tblCellMar>
        </w:tblPrEx>
        <w:trPr>
          <w:trHeight w:val="480" w:hRule="atLeast"/>
        </w:trPr>
        <w:tc>
          <w:tcPr>
            <w:tcW w:w="2837" w:type="dxa"/>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数据库日常主动性咨询服务（预防性）</w:t>
            </w:r>
          </w:p>
        </w:tc>
        <w:tc>
          <w:tcPr>
            <w:tcW w:w="6864" w:type="dxa"/>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根据隐患进行针对性调整，针对数据库运行的条件需求变动向客户主动提出适应性的咨询调整服务。</w:t>
            </w:r>
          </w:p>
        </w:tc>
      </w:tr>
      <w:tr>
        <w:tblPrEx>
          <w:tblCellMar>
            <w:top w:w="0" w:type="dxa"/>
            <w:left w:w="108" w:type="dxa"/>
            <w:bottom w:w="0" w:type="dxa"/>
            <w:right w:w="108" w:type="dxa"/>
          </w:tblCellMar>
        </w:tblPrEx>
        <w:trPr>
          <w:trHeight w:val="480" w:hRule="atLeast"/>
        </w:trPr>
        <w:tc>
          <w:tcPr>
            <w:tcW w:w="2837" w:type="dxa"/>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特殊时段重保服务</w:t>
            </w:r>
          </w:p>
        </w:tc>
        <w:tc>
          <w:tcPr>
            <w:tcW w:w="6864" w:type="dxa"/>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lang w:eastAsia="zh-CN"/>
              </w:rPr>
            </w:pPr>
            <w:r>
              <w:rPr>
                <w:rFonts w:hint="eastAsia" w:ascii="宋体" w:hAnsi="宋体" w:eastAsia="宋体" w:cs="宋体"/>
              </w:rPr>
              <w:t>提供重要特殊时段（如节假日，停机维护以及医院认为必要的重要时段）的重要保障</w:t>
            </w:r>
            <w:r>
              <w:rPr>
                <w:rFonts w:hint="eastAsia" w:ascii="宋体" w:hAnsi="宋体" w:eastAsia="宋体" w:cs="宋体"/>
                <w:lang w:eastAsia="zh-CN"/>
              </w:rPr>
              <w:t>。</w:t>
            </w:r>
          </w:p>
        </w:tc>
      </w:tr>
      <w:tr>
        <w:tblPrEx>
          <w:tblCellMar>
            <w:top w:w="0" w:type="dxa"/>
            <w:left w:w="108" w:type="dxa"/>
            <w:bottom w:w="0" w:type="dxa"/>
            <w:right w:w="108" w:type="dxa"/>
          </w:tblCellMar>
        </w:tblPrEx>
        <w:trPr>
          <w:trHeight w:val="2160" w:hRule="atLeast"/>
        </w:trPr>
        <w:tc>
          <w:tcPr>
            <w:tcW w:w="2837" w:type="dxa"/>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巡检服务</w:t>
            </w:r>
          </w:p>
        </w:tc>
        <w:tc>
          <w:tcPr>
            <w:tcW w:w="6864" w:type="dxa"/>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日常检查包括以下内容：</w:t>
            </w:r>
            <w:r>
              <w:rPr>
                <w:rFonts w:hint="eastAsia" w:ascii="宋体" w:hAnsi="宋体" w:eastAsia="宋体" w:cs="宋体"/>
              </w:rPr>
              <w:br w:type="textWrapping"/>
            </w:r>
            <w:r>
              <w:rPr>
                <w:rFonts w:hint="eastAsia" w:ascii="宋体" w:hAnsi="宋体" w:eastAsia="宋体" w:cs="宋体"/>
              </w:rPr>
              <w:t>检查相关软硬件、数据库配置和SGA、PGA的配置情况；</w:t>
            </w:r>
            <w:r>
              <w:rPr>
                <w:rFonts w:hint="eastAsia" w:ascii="宋体" w:hAnsi="宋体" w:eastAsia="宋体" w:cs="宋体"/>
              </w:rPr>
              <w:br w:type="textWrapping"/>
            </w:r>
            <w:r>
              <w:rPr>
                <w:rFonts w:hint="eastAsia" w:ascii="宋体" w:hAnsi="宋体" w:eastAsia="宋体" w:cs="宋体"/>
              </w:rPr>
              <w:t>检查数据库、备份结果集、各表空间的变化情况等，并对数据变化情况作评估；</w:t>
            </w:r>
            <w:r>
              <w:rPr>
                <w:rFonts w:hint="eastAsia" w:ascii="宋体" w:hAnsi="宋体" w:eastAsia="宋体" w:cs="宋体"/>
              </w:rPr>
              <w:br w:type="textWrapping"/>
            </w:r>
            <w:r>
              <w:rPr>
                <w:rFonts w:hint="eastAsia" w:ascii="宋体" w:hAnsi="宋体" w:eastAsia="宋体" w:cs="宋体"/>
              </w:rPr>
              <w:t>统计当前表空间、文件系统和数据文件的使用情况；</w:t>
            </w:r>
            <w:r>
              <w:rPr>
                <w:rFonts w:hint="eastAsia" w:ascii="宋体" w:hAnsi="宋体" w:eastAsia="宋体" w:cs="宋体"/>
              </w:rPr>
              <w:br w:type="textWrapping"/>
            </w:r>
            <w:r>
              <w:rPr>
                <w:rFonts w:hint="eastAsia" w:ascii="宋体" w:hAnsi="宋体" w:eastAsia="宋体" w:cs="宋体"/>
              </w:rPr>
              <w:t>检查数据库alert.log日志文件和相关trace文件；</w:t>
            </w:r>
            <w:r>
              <w:rPr>
                <w:rFonts w:hint="eastAsia" w:ascii="宋体" w:hAnsi="宋体" w:eastAsia="宋体" w:cs="宋体"/>
              </w:rPr>
              <w:br w:type="textWrapping"/>
            </w:r>
            <w:r>
              <w:rPr>
                <w:rFonts w:hint="eastAsia" w:ascii="宋体" w:hAnsi="宋体" w:eastAsia="宋体" w:cs="宋体"/>
              </w:rPr>
              <w:t>检查操作系统用户、数据库用户、系统本身的安全性；</w:t>
            </w:r>
            <w:r>
              <w:rPr>
                <w:rFonts w:hint="eastAsia" w:ascii="宋体" w:hAnsi="宋体" w:eastAsia="宋体" w:cs="宋体"/>
              </w:rPr>
              <w:br w:type="textWrapping"/>
            </w:r>
            <w:r>
              <w:rPr>
                <w:rFonts w:hint="eastAsia" w:ascii="宋体" w:hAnsi="宋体" w:eastAsia="宋体" w:cs="宋体"/>
              </w:rPr>
              <w:t>收集数据库运行期间的负载情况和Instance各性能指标。</w:t>
            </w:r>
          </w:p>
        </w:tc>
      </w:tr>
    </w:tbl>
    <w:p>
      <w:pPr>
        <w:pStyle w:val="51"/>
        <w:numPr>
          <w:ilvl w:val="0"/>
          <w:numId w:val="5"/>
        </w:numPr>
        <w:autoSpaceDE w:val="0"/>
        <w:autoSpaceDN w:val="0"/>
        <w:spacing w:line="600" w:lineRule="exact"/>
        <w:ind w:firstLineChars="0"/>
        <w:rPr>
          <w:rFonts w:hint="eastAsia" w:ascii="宋体" w:hAnsi="宋体" w:eastAsia="宋体" w:cs="宋体"/>
          <w:b/>
          <w:bCs/>
          <w:kern w:val="0"/>
          <w:lang w:val="zh-CN" w:bidi="zh-CN"/>
        </w:rPr>
      </w:pPr>
      <w:bookmarkStart w:id="22" w:name="_Toc88126940"/>
      <w:r>
        <w:rPr>
          <w:rFonts w:hint="eastAsia" w:ascii="宋体" w:hAnsi="宋体" w:eastAsia="宋体" w:cs="宋体"/>
          <w:b/>
          <w:bCs/>
          <w:kern w:val="0"/>
          <w:lang w:val="zh-CN" w:bidi="zh-CN"/>
        </w:rPr>
        <w:t>数据库迁移支持服务</w:t>
      </w:r>
      <w:bookmarkEnd w:id="22"/>
    </w:p>
    <w:p>
      <w:pPr>
        <w:ind w:firstLine="420" w:firstLineChars="200"/>
        <w:rPr>
          <w:rFonts w:hint="eastAsia" w:ascii="宋体" w:hAnsi="宋体" w:eastAsia="宋体" w:cs="宋体"/>
          <w:color w:val="000000"/>
          <w:szCs w:val="21"/>
        </w:rPr>
      </w:pPr>
      <w:r>
        <w:rPr>
          <w:rFonts w:hint="eastAsia" w:ascii="宋体" w:hAnsi="宋体" w:eastAsia="宋体" w:cs="宋体"/>
          <w:color w:val="000000"/>
          <w:szCs w:val="21"/>
        </w:rPr>
        <w:t>提供数据迁移免费服务，根据数据迁移源和目的平台属性，同时考虑其上运行业务系统的持续性要求，制定最小影响、最大安全、切实可行的数据迁移方案，并协助实施执行。</w:t>
      </w:r>
    </w:p>
    <w:tbl>
      <w:tblPr>
        <w:tblStyle w:val="29"/>
        <w:tblW w:w="5000" w:type="pct"/>
        <w:tblInd w:w="0" w:type="dxa"/>
        <w:tblLayout w:type="autofit"/>
        <w:tblCellMar>
          <w:top w:w="0" w:type="dxa"/>
          <w:left w:w="108" w:type="dxa"/>
          <w:bottom w:w="0" w:type="dxa"/>
          <w:right w:w="108" w:type="dxa"/>
        </w:tblCellMar>
      </w:tblPr>
      <w:tblGrid>
        <w:gridCol w:w="3043"/>
        <w:gridCol w:w="6465"/>
      </w:tblGrid>
      <w:tr>
        <w:tblPrEx>
          <w:tblCellMar>
            <w:top w:w="0" w:type="dxa"/>
            <w:left w:w="108" w:type="dxa"/>
            <w:bottom w:w="0" w:type="dxa"/>
            <w:right w:w="108" w:type="dxa"/>
          </w:tblCellMar>
        </w:tblPrEx>
        <w:trPr>
          <w:trHeight w:val="276" w:hRule="atLeast"/>
        </w:trPr>
        <w:tc>
          <w:tcPr>
            <w:tcW w:w="1600"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内容</w:t>
            </w:r>
          </w:p>
        </w:tc>
        <w:tc>
          <w:tcPr>
            <w:tcW w:w="3400" w:type="pct"/>
            <w:tcBorders>
              <w:top w:val="single" w:color="auto" w:sz="4" w:space="0"/>
              <w:left w:val="nil"/>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服务说明</w:t>
            </w:r>
          </w:p>
        </w:tc>
      </w:tr>
      <w:tr>
        <w:tblPrEx>
          <w:tblCellMar>
            <w:top w:w="0" w:type="dxa"/>
            <w:left w:w="108" w:type="dxa"/>
            <w:bottom w:w="0" w:type="dxa"/>
            <w:right w:w="108" w:type="dxa"/>
          </w:tblCellMar>
        </w:tblPrEx>
        <w:trPr>
          <w:trHeight w:val="720" w:hRule="atLeast"/>
        </w:trPr>
        <w:tc>
          <w:tcPr>
            <w:tcW w:w="1600" w:type="pct"/>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数据库标准化迁移咨询服务</w:t>
            </w:r>
          </w:p>
        </w:tc>
        <w:tc>
          <w:tcPr>
            <w:tcW w:w="3400" w:type="pct"/>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提供迁移咨询，包括对需求迁移的数据库源端以及目标端环境（数据量，数据库版本，机器配置，应用架构，停机窗口等）调研，提出相应符合实际情况的迁移技术方案。</w:t>
            </w:r>
          </w:p>
        </w:tc>
      </w:tr>
      <w:tr>
        <w:tblPrEx>
          <w:tblCellMar>
            <w:top w:w="0" w:type="dxa"/>
            <w:left w:w="108" w:type="dxa"/>
            <w:bottom w:w="0" w:type="dxa"/>
            <w:right w:w="108" w:type="dxa"/>
          </w:tblCellMar>
        </w:tblPrEx>
        <w:trPr>
          <w:trHeight w:val="480" w:hRule="atLeast"/>
        </w:trPr>
        <w:tc>
          <w:tcPr>
            <w:tcW w:w="1600" w:type="pct"/>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配合医院应用测试服务</w:t>
            </w:r>
          </w:p>
        </w:tc>
        <w:tc>
          <w:tcPr>
            <w:tcW w:w="3400" w:type="pct"/>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主要测试业务性能，数据有效性，协助医院提供业务应用测试时间段的数据库性能测试。</w:t>
            </w:r>
          </w:p>
        </w:tc>
      </w:tr>
      <w:tr>
        <w:tblPrEx>
          <w:tblCellMar>
            <w:top w:w="0" w:type="dxa"/>
            <w:left w:w="108" w:type="dxa"/>
            <w:bottom w:w="0" w:type="dxa"/>
            <w:right w:w="108" w:type="dxa"/>
          </w:tblCellMar>
        </w:tblPrEx>
        <w:trPr>
          <w:trHeight w:val="276" w:hRule="atLeast"/>
        </w:trPr>
        <w:tc>
          <w:tcPr>
            <w:tcW w:w="1600" w:type="pct"/>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数据库迁移现场支持服务</w:t>
            </w:r>
          </w:p>
        </w:tc>
        <w:tc>
          <w:tcPr>
            <w:tcW w:w="3400" w:type="pct"/>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提供数据库迁移服务，迁移方法可以为物理和逻辑。</w:t>
            </w:r>
          </w:p>
        </w:tc>
      </w:tr>
      <w:tr>
        <w:tblPrEx>
          <w:tblCellMar>
            <w:top w:w="0" w:type="dxa"/>
            <w:left w:w="108" w:type="dxa"/>
            <w:bottom w:w="0" w:type="dxa"/>
            <w:right w:w="108" w:type="dxa"/>
          </w:tblCellMar>
        </w:tblPrEx>
        <w:trPr>
          <w:trHeight w:val="720" w:hRule="atLeast"/>
        </w:trPr>
        <w:tc>
          <w:tcPr>
            <w:tcW w:w="1600" w:type="pct"/>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配合医院业务上线服务</w:t>
            </w:r>
          </w:p>
        </w:tc>
        <w:tc>
          <w:tcPr>
            <w:tcW w:w="3400" w:type="pct"/>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为业务上线后对新业务性能情况进行持续一段时间的跟踪（包括性能波动，数据增长，内存抖动，连接数量），分析业务性能异常部分以及可能引起数据库运行稳定的因素进行调整，保障业务稳定上线运行。</w:t>
            </w:r>
          </w:p>
        </w:tc>
      </w:tr>
    </w:tbl>
    <w:p>
      <w:pPr>
        <w:pStyle w:val="51"/>
        <w:numPr>
          <w:ilvl w:val="0"/>
          <w:numId w:val="5"/>
        </w:numPr>
        <w:autoSpaceDE w:val="0"/>
        <w:autoSpaceDN w:val="0"/>
        <w:spacing w:line="600" w:lineRule="exact"/>
        <w:ind w:firstLineChars="0"/>
        <w:rPr>
          <w:rFonts w:hint="eastAsia" w:ascii="宋体" w:hAnsi="宋体" w:eastAsia="宋体" w:cs="宋体"/>
          <w:b/>
          <w:bCs/>
          <w:kern w:val="0"/>
          <w:lang w:val="zh-CN" w:bidi="zh-CN"/>
        </w:rPr>
      </w:pPr>
      <w:bookmarkStart w:id="23" w:name="_Toc88126941"/>
      <w:r>
        <w:rPr>
          <w:rFonts w:hint="eastAsia" w:ascii="宋体" w:hAnsi="宋体" w:eastAsia="宋体" w:cs="宋体"/>
          <w:b/>
          <w:bCs/>
          <w:kern w:val="0"/>
          <w:lang w:val="zh-CN" w:bidi="zh-CN"/>
        </w:rPr>
        <w:t>数据库性能调优服务</w:t>
      </w:r>
      <w:bookmarkEnd w:id="23"/>
    </w:p>
    <w:p>
      <w:pPr>
        <w:ind w:firstLine="420" w:firstLineChars="200"/>
        <w:rPr>
          <w:rFonts w:hint="eastAsia" w:ascii="宋体" w:hAnsi="宋体" w:eastAsia="宋体" w:cs="宋体"/>
          <w:color w:val="000000"/>
          <w:szCs w:val="21"/>
        </w:rPr>
      </w:pPr>
      <w:r>
        <w:rPr>
          <w:rFonts w:hint="eastAsia" w:ascii="宋体" w:hAnsi="宋体" w:eastAsia="宋体" w:cs="宋体"/>
          <w:color w:val="000000"/>
          <w:szCs w:val="21"/>
        </w:rPr>
        <w:t>提供系统、数据库以及网络三方面的性能免费调优服务。对系统存在的风险点，提供系统优化建议、优化方案，并协助医院对系统进行优化，以降低系统风险，例如：磁阵扩容建议、系统备份方案优化、数据库优化等多方面。</w:t>
      </w:r>
    </w:p>
    <w:tbl>
      <w:tblPr>
        <w:tblStyle w:val="29"/>
        <w:tblW w:w="5197" w:type="pct"/>
        <w:tblInd w:w="0" w:type="dxa"/>
        <w:tblLayout w:type="autofit"/>
        <w:tblCellMar>
          <w:top w:w="0" w:type="dxa"/>
          <w:left w:w="108" w:type="dxa"/>
          <w:bottom w:w="0" w:type="dxa"/>
          <w:right w:w="108" w:type="dxa"/>
        </w:tblCellMar>
      </w:tblPr>
      <w:tblGrid>
        <w:gridCol w:w="3043"/>
        <w:gridCol w:w="6840"/>
      </w:tblGrid>
      <w:tr>
        <w:tblPrEx>
          <w:tblCellMar>
            <w:top w:w="0" w:type="dxa"/>
            <w:left w:w="108" w:type="dxa"/>
            <w:bottom w:w="0" w:type="dxa"/>
            <w:right w:w="108" w:type="dxa"/>
          </w:tblCellMar>
        </w:tblPrEx>
        <w:trPr>
          <w:trHeight w:val="276" w:hRule="atLeast"/>
        </w:trPr>
        <w:tc>
          <w:tcPr>
            <w:tcW w:w="1539"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内容</w:t>
            </w:r>
          </w:p>
        </w:tc>
        <w:tc>
          <w:tcPr>
            <w:tcW w:w="3460" w:type="pct"/>
            <w:tcBorders>
              <w:top w:val="single" w:color="auto" w:sz="4" w:space="0"/>
              <w:left w:val="nil"/>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服务说明</w:t>
            </w:r>
          </w:p>
        </w:tc>
      </w:tr>
      <w:tr>
        <w:tblPrEx>
          <w:tblCellMar>
            <w:top w:w="0" w:type="dxa"/>
            <w:left w:w="108" w:type="dxa"/>
            <w:bottom w:w="0" w:type="dxa"/>
            <w:right w:w="108" w:type="dxa"/>
          </w:tblCellMar>
        </w:tblPrEx>
        <w:trPr>
          <w:trHeight w:val="276" w:hRule="atLeast"/>
        </w:trPr>
        <w:tc>
          <w:tcPr>
            <w:tcW w:w="1539" w:type="pct"/>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调整影响数据库运行效率的参数</w:t>
            </w:r>
          </w:p>
        </w:tc>
        <w:tc>
          <w:tcPr>
            <w:tcW w:w="3460" w:type="pct"/>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以调整数据库参数，与数据相关的系统参数为主。</w:t>
            </w:r>
          </w:p>
        </w:tc>
      </w:tr>
      <w:tr>
        <w:tblPrEx>
          <w:tblCellMar>
            <w:top w:w="0" w:type="dxa"/>
            <w:left w:w="108" w:type="dxa"/>
            <w:bottom w:w="0" w:type="dxa"/>
            <w:right w:w="108" w:type="dxa"/>
          </w:tblCellMar>
        </w:tblPrEx>
        <w:trPr>
          <w:trHeight w:val="528" w:hRule="atLeast"/>
        </w:trPr>
        <w:tc>
          <w:tcPr>
            <w:tcW w:w="1539" w:type="pct"/>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提供影响数据库运行效率的SQL语句</w:t>
            </w:r>
          </w:p>
        </w:tc>
        <w:tc>
          <w:tcPr>
            <w:tcW w:w="3460" w:type="pct"/>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属于发现应用层相关问题，对耗用资源的TOP SQL进行分析并提出解决方法，必要时候配合医院对SQL进行优化。</w:t>
            </w:r>
          </w:p>
        </w:tc>
      </w:tr>
      <w:tr>
        <w:tblPrEx>
          <w:tblCellMar>
            <w:top w:w="0" w:type="dxa"/>
            <w:left w:w="108" w:type="dxa"/>
            <w:bottom w:w="0" w:type="dxa"/>
            <w:right w:w="108" w:type="dxa"/>
          </w:tblCellMar>
        </w:tblPrEx>
        <w:trPr>
          <w:trHeight w:val="744" w:hRule="atLeast"/>
        </w:trPr>
        <w:tc>
          <w:tcPr>
            <w:tcW w:w="1539" w:type="pct"/>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提供影响数据库运行效率的数据库对象</w:t>
            </w:r>
          </w:p>
        </w:tc>
        <w:tc>
          <w:tcPr>
            <w:tcW w:w="3460" w:type="pct"/>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属于发现应用层相关问题，在出现性能问题时候，分析相关SQL表结构合理性，索引规划合理性，数据分部，对象统计信息，对象碎片等，并提出相应的优化方案。</w:t>
            </w:r>
          </w:p>
        </w:tc>
      </w:tr>
      <w:tr>
        <w:tblPrEx>
          <w:tblCellMar>
            <w:top w:w="0" w:type="dxa"/>
            <w:left w:w="108" w:type="dxa"/>
            <w:bottom w:w="0" w:type="dxa"/>
            <w:right w:w="108" w:type="dxa"/>
          </w:tblCellMar>
        </w:tblPrEx>
        <w:trPr>
          <w:trHeight w:val="480" w:hRule="atLeast"/>
        </w:trPr>
        <w:tc>
          <w:tcPr>
            <w:tcW w:w="1539" w:type="pct"/>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提供影响应用运行效率的模块</w:t>
            </w:r>
          </w:p>
        </w:tc>
        <w:tc>
          <w:tcPr>
            <w:tcW w:w="3460" w:type="pct"/>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属于实例应用层问题，在出现性能问题时候，提供运行性能效率差的模块信息，比如客户端，执行时间，执行次数，开销等信息</w:t>
            </w:r>
          </w:p>
        </w:tc>
      </w:tr>
      <w:tr>
        <w:tblPrEx>
          <w:tblCellMar>
            <w:top w:w="0" w:type="dxa"/>
            <w:left w:w="108" w:type="dxa"/>
            <w:bottom w:w="0" w:type="dxa"/>
            <w:right w:w="108" w:type="dxa"/>
          </w:tblCellMar>
        </w:tblPrEx>
        <w:trPr>
          <w:trHeight w:val="1224" w:hRule="atLeast"/>
        </w:trPr>
        <w:tc>
          <w:tcPr>
            <w:tcW w:w="1539" w:type="pct"/>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突发性的数据库性能故障处理</w:t>
            </w:r>
          </w:p>
        </w:tc>
        <w:tc>
          <w:tcPr>
            <w:tcW w:w="3460" w:type="pct"/>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在出现性能故障时候，收集系统以及数据库性能数据，对该数据进行检查，并对有可能造成系统性能下降的因素进行评估，识别需要修改的资源占用严重的结构化查询语言语句、过程锁定冲突和资源占用严重的程序，以及CPU,IO,MEMORY等相关因素的性能情况，确定和检查用来校正即时性能偏差的修正方案，使客户的软件环境可以恢复到正常的运行水平</w:t>
            </w:r>
          </w:p>
        </w:tc>
      </w:tr>
    </w:tbl>
    <w:p>
      <w:pPr>
        <w:pStyle w:val="51"/>
        <w:numPr>
          <w:ilvl w:val="0"/>
          <w:numId w:val="5"/>
        </w:numPr>
        <w:autoSpaceDE w:val="0"/>
        <w:autoSpaceDN w:val="0"/>
        <w:spacing w:line="600" w:lineRule="exact"/>
        <w:ind w:firstLineChars="0"/>
        <w:rPr>
          <w:rFonts w:hint="eastAsia" w:ascii="宋体" w:hAnsi="宋体" w:eastAsia="宋体" w:cs="宋体"/>
          <w:b/>
          <w:bCs/>
          <w:kern w:val="0"/>
          <w:lang w:val="zh-CN" w:bidi="zh-CN"/>
        </w:rPr>
      </w:pPr>
      <w:bookmarkStart w:id="24" w:name="_Toc88126942"/>
      <w:r>
        <w:rPr>
          <w:rFonts w:hint="eastAsia" w:ascii="宋体" w:hAnsi="宋体" w:eastAsia="宋体" w:cs="宋体"/>
          <w:b/>
          <w:bCs/>
          <w:kern w:val="0"/>
          <w:lang w:val="zh-CN" w:bidi="zh-CN"/>
        </w:rPr>
        <w:t>数据库咨询服务</w:t>
      </w:r>
      <w:bookmarkEnd w:id="24"/>
    </w:p>
    <w:tbl>
      <w:tblPr>
        <w:tblStyle w:val="29"/>
        <w:tblW w:w="5197" w:type="pct"/>
        <w:tblInd w:w="0" w:type="dxa"/>
        <w:tblLayout w:type="autofit"/>
        <w:tblCellMar>
          <w:top w:w="0" w:type="dxa"/>
          <w:left w:w="108" w:type="dxa"/>
          <w:bottom w:w="0" w:type="dxa"/>
          <w:right w:w="108" w:type="dxa"/>
        </w:tblCellMar>
      </w:tblPr>
      <w:tblGrid>
        <w:gridCol w:w="3043"/>
        <w:gridCol w:w="6840"/>
      </w:tblGrid>
      <w:tr>
        <w:tblPrEx>
          <w:tblCellMar>
            <w:top w:w="0" w:type="dxa"/>
            <w:left w:w="108" w:type="dxa"/>
            <w:bottom w:w="0" w:type="dxa"/>
            <w:right w:w="108" w:type="dxa"/>
          </w:tblCellMar>
        </w:tblPrEx>
        <w:trPr>
          <w:trHeight w:val="276" w:hRule="atLeast"/>
        </w:trPr>
        <w:tc>
          <w:tcPr>
            <w:tcW w:w="1539"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内容</w:t>
            </w:r>
          </w:p>
        </w:tc>
        <w:tc>
          <w:tcPr>
            <w:tcW w:w="3460" w:type="pct"/>
            <w:tcBorders>
              <w:top w:val="single" w:color="auto" w:sz="4" w:space="0"/>
              <w:left w:val="nil"/>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服务说明</w:t>
            </w:r>
          </w:p>
        </w:tc>
      </w:tr>
      <w:tr>
        <w:tblPrEx>
          <w:tblCellMar>
            <w:top w:w="0" w:type="dxa"/>
            <w:left w:w="108" w:type="dxa"/>
            <w:bottom w:w="0" w:type="dxa"/>
            <w:right w:w="108" w:type="dxa"/>
          </w:tblCellMar>
        </w:tblPrEx>
        <w:trPr>
          <w:trHeight w:val="480" w:hRule="atLeast"/>
        </w:trPr>
        <w:tc>
          <w:tcPr>
            <w:tcW w:w="1539" w:type="pct"/>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数据库架构规划咨询服务</w:t>
            </w:r>
          </w:p>
        </w:tc>
        <w:tc>
          <w:tcPr>
            <w:tcW w:w="3460" w:type="pct"/>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评估数据库架构规划合理性并予以实施</w:t>
            </w:r>
          </w:p>
        </w:tc>
      </w:tr>
      <w:tr>
        <w:tblPrEx>
          <w:tblCellMar>
            <w:top w:w="0" w:type="dxa"/>
            <w:left w:w="108" w:type="dxa"/>
            <w:bottom w:w="0" w:type="dxa"/>
            <w:right w:w="108" w:type="dxa"/>
          </w:tblCellMar>
        </w:tblPrEx>
        <w:trPr>
          <w:trHeight w:val="480" w:hRule="atLeast"/>
        </w:trPr>
        <w:tc>
          <w:tcPr>
            <w:tcW w:w="1539" w:type="pct"/>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数据库资源规划咨询服务</w:t>
            </w:r>
          </w:p>
        </w:tc>
        <w:tc>
          <w:tcPr>
            <w:tcW w:w="3460" w:type="pct"/>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评估业务上线前期资源规划合理性</w:t>
            </w:r>
          </w:p>
        </w:tc>
      </w:tr>
      <w:tr>
        <w:tblPrEx>
          <w:tblCellMar>
            <w:top w:w="0" w:type="dxa"/>
            <w:left w:w="108" w:type="dxa"/>
            <w:bottom w:w="0" w:type="dxa"/>
            <w:right w:w="108" w:type="dxa"/>
          </w:tblCellMar>
        </w:tblPrEx>
        <w:trPr>
          <w:trHeight w:val="276" w:hRule="atLeast"/>
        </w:trPr>
        <w:tc>
          <w:tcPr>
            <w:tcW w:w="1539" w:type="pct"/>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数据库参数预调整服务</w:t>
            </w:r>
          </w:p>
        </w:tc>
        <w:tc>
          <w:tcPr>
            <w:tcW w:w="3460" w:type="pct"/>
            <w:tcBorders>
              <w:top w:val="nil"/>
              <w:left w:val="nil"/>
              <w:bottom w:val="single" w:color="auto" w:sz="4" w:space="0"/>
              <w:right w:val="single" w:color="auto" w:sz="4" w:space="0"/>
            </w:tcBorders>
            <w:shd w:val="clear" w:color="auto" w:fill="auto"/>
            <w:vAlign w:val="center"/>
          </w:tcPr>
          <w:p>
            <w:pPr>
              <w:spacing w:line="600" w:lineRule="exact"/>
              <w:rPr>
                <w:rFonts w:hint="eastAsia" w:ascii="宋体" w:hAnsi="宋体" w:eastAsia="宋体" w:cs="宋体"/>
                <w:b/>
              </w:rPr>
            </w:pPr>
            <w:r>
              <w:rPr>
                <w:rFonts w:hint="eastAsia" w:ascii="宋体" w:hAnsi="宋体" w:eastAsia="宋体" w:cs="宋体"/>
              </w:rPr>
              <w:t>评估业务上线前期参数设置合理性</w:t>
            </w:r>
          </w:p>
        </w:tc>
      </w:tr>
    </w:tbl>
    <w:p>
      <w:pPr>
        <w:pStyle w:val="51"/>
        <w:numPr>
          <w:ilvl w:val="0"/>
          <w:numId w:val="5"/>
        </w:numPr>
        <w:autoSpaceDE w:val="0"/>
        <w:autoSpaceDN w:val="0"/>
        <w:spacing w:line="600" w:lineRule="exact"/>
        <w:ind w:firstLineChars="0"/>
        <w:rPr>
          <w:rFonts w:hint="eastAsia" w:ascii="宋体" w:hAnsi="宋体" w:eastAsia="宋体" w:cs="宋体"/>
          <w:b/>
          <w:bCs/>
          <w:kern w:val="0"/>
          <w:lang w:val="zh-CN" w:bidi="zh-CN"/>
        </w:rPr>
      </w:pPr>
      <w:bookmarkStart w:id="25" w:name="_Toc88126943"/>
      <w:r>
        <w:rPr>
          <w:rFonts w:hint="eastAsia" w:ascii="宋体" w:hAnsi="宋体" w:eastAsia="宋体" w:cs="宋体"/>
          <w:b/>
          <w:bCs/>
          <w:kern w:val="0"/>
          <w:lang w:val="zh-CN" w:bidi="zh-CN"/>
        </w:rPr>
        <w:t>数据库升级备份实施服务</w:t>
      </w:r>
      <w:bookmarkEnd w:id="25"/>
    </w:p>
    <w:tbl>
      <w:tblPr>
        <w:tblStyle w:val="29"/>
        <w:tblW w:w="5200" w:type="pct"/>
        <w:tblInd w:w="0" w:type="dxa"/>
        <w:tblLayout w:type="autofit"/>
        <w:tblCellMar>
          <w:top w:w="0" w:type="dxa"/>
          <w:left w:w="108" w:type="dxa"/>
          <w:bottom w:w="0" w:type="dxa"/>
          <w:right w:w="108" w:type="dxa"/>
        </w:tblCellMar>
      </w:tblPr>
      <w:tblGrid>
        <w:gridCol w:w="3244"/>
        <w:gridCol w:w="6644"/>
      </w:tblGrid>
      <w:tr>
        <w:tblPrEx>
          <w:tblCellMar>
            <w:top w:w="0" w:type="dxa"/>
            <w:left w:w="108" w:type="dxa"/>
            <w:bottom w:w="0" w:type="dxa"/>
            <w:right w:w="108" w:type="dxa"/>
          </w:tblCellMar>
        </w:tblPrEx>
        <w:trPr>
          <w:trHeight w:val="276" w:hRule="atLeast"/>
        </w:trPr>
        <w:tc>
          <w:tcPr>
            <w:tcW w:w="1640"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内容</w:t>
            </w:r>
          </w:p>
        </w:tc>
        <w:tc>
          <w:tcPr>
            <w:tcW w:w="3359" w:type="pct"/>
            <w:tcBorders>
              <w:top w:val="single" w:color="auto" w:sz="4" w:space="0"/>
              <w:left w:val="nil"/>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服务说明</w:t>
            </w:r>
          </w:p>
        </w:tc>
      </w:tr>
      <w:tr>
        <w:tblPrEx>
          <w:tblCellMar>
            <w:top w:w="0" w:type="dxa"/>
            <w:left w:w="108" w:type="dxa"/>
            <w:bottom w:w="0" w:type="dxa"/>
            <w:right w:w="108" w:type="dxa"/>
          </w:tblCellMar>
        </w:tblPrEx>
        <w:trPr>
          <w:trHeight w:val="276" w:hRule="atLeast"/>
        </w:trPr>
        <w:tc>
          <w:tcPr>
            <w:tcW w:w="1640" w:type="pct"/>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软件补丁升级服务</w:t>
            </w:r>
          </w:p>
        </w:tc>
        <w:tc>
          <w:tcPr>
            <w:tcW w:w="3359" w:type="pct"/>
            <w:tcBorders>
              <w:top w:val="nil"/>
              <w:left w:val="nil"/>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lang w:val="en-US" w:eastAsia="zh-CN"/>
              </w:rPr>
            </w:pPr>
            <w:r>
              <w:rPr>
                <w:rFonts w:hint="eastAsia" w:ascii="宋体" w:hAnsi="宋体" w:eastAsia="宋体" w:cs="宋体"/>
              </w:rPr>
              <w:t>安装数据库补丁，预防命中bug</w:t>
            </w:r>
            <w:r>
              <w:rPr>
                <w:rFonts w:hint="eastAsia" w:ascii="宋体" w:hAnsi="宋体" w:eastAsia="宋体" w:cs="宋体"/>
                <w:lang w:eastAsia="zh-CN"/>
              </w:rPr>
              <w:t>、</w:t>
            </w:r>
            <w:r>
              <w:rPr>
                <w:rFonts w:hint="eastAsia" w:ascii="宋体" w:hAnsi="宋体" w:eastAsia="宋体" w:cs="宋体"/>
                <w:lang w:val="en-US" w:eastAsia="zh-CN"/>
              </w:rPr>
              <w:t>以及验证补丁有效性等；</w:t>
            </w:r>
          </w:p>
        </w:tc>
      </w:tr>
      <w:tr>
        <w:tblPrEx>
          <w:tblCellMar>
            <w:top w:w="0" w:type="dxa"/>
            <w:left w:w="108" w:type="dxa"/>
            <w:bottom w:w="0" w:type="dxa"/>
            <w:right w:w="108" w:type="dxa"/>
          </w:tblCellMar>
        </w:tblPrEx>
        <w:trPr>
          <w:trHeight w:val="764" w:hRule="atLeast"/>
        </w:trPr>
        <w:tc>
          <w:tcPr>
            <w:tcW w:w="1640" w:type="pct"/>
            <w:tcBorders>
              <w:top w:val="nil"/>
              <w:left w:val="single" w:color="auto" w:sz="4" w:space="0"/>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数据库备份实施服务</w:t>
            </w:r>
          </w:p>
        </w:tc>
        <w:tc>
          <w:tcPr>
            <w:tcW w:w="3359" w:type="pct"/>
            <w:tcBorders>
              <w:top w:val="nil"/>
              <w:left w:val="nil"/>
              <w:bottom w:val="single" w:color="auto" w:sz="4" w:space="0"/>
              <w:right w:val="single" w:color="auto" w:sz="4" w:space="0"/>
            </w:tcBorders>
            <w:shd w:val="clear" w:color="auto" w:fill="auto"/>
            <w:vAlign w:val="center"/>
          </w:tcPr>
          <w:p>
            <w:pPr>
              <w:spacing w:line="600" w:lineRule="exact"/>
              <w:jc w:val="center"/>
              <w:rPr>
                <w:rFonts w:hint="eastAsia" w:ascii="宋体" w:hAnsi="宋体" w:eastAsia="宋体" w:cs="宋体"/>
                <w:b/>
              </w:rPr>
            </w:pPr>
            <w:r>
              <w:rPr>
                <w:rFonts w:hint="eastAsia" w:ascii="宋体" w:hAnsi="宋体" w:eastAsia="宋体" w:cs="宋体"/>
              </w:rPr>
              <w:t>对数据库进行每周全备，每天增量备份部署，并根据特殊情况调整。</w:t>
            </w:r>
          </w:p>
        </w:tc>
      </w:tr>
    </w:tbl>
    <w:p>
      <w:pPr>
        <w:bidi w:val="0"/>
        <w:rPr>
          <w:rFonts w:hint="default" w:ascii="宋体" w:hAnsi="宋体" w:eastAsia="宋体" w:cs="宋体"/>
          <w:b/>
          <w:bCs/>
          <w:sz w:val="32"/>
          <w:szCs w:val="32"/>
          <w:lang w:val="en-US" w:eastAsia="zh-CN"/>
        </w:rPr>
      </w:pPr>
      <w:bookmarkStart w:id="26" w:name="_Toc192247519"/>
      <w:r>
        <w:rPr>
          <w:rFonts w:hint="eastAsia" w:ascii="宋体" w:hAnsi="宋体" w:eastAsia="宋体" w:cs="宋体"/>
          <w:b/>
          <w:bCs/>
          <w:sz w:val="32"/>
          <w:szCs w:val="32"/>
        </w:rPr>
        <w:t>3.3、</w:t>
      </w:r>
      <w:r>
        <w:rPr>
          <w:rFonts w:hint="eastAsia" w:ascii="宋体" w:hAnsi="宋体" w:eastAsia="宋体" w:cs="宋体"/>
          <w:b/>
          <w:bCs/>
          <w:sz w:val="32"/>
          <w:szCs w:val="32"/>
          <w:lang w:val="en-US" w:eastAsia="zh-CN"/>
        </w:rPr>
        <w:t>数据中心</w:t>
      </w:r>
      <w:r>
        <w:rPr>
          <w:rFonts w:hint="eastAsia" w:ascii="宋体" w:hAnsi="宋体" w:eastAsia="宋体" w:cs="宋体"/>
          <w:b/>
          <w:bCs/>
          <w:sz w:val="32"/>
          <w:szCs w:val="32"/>
        </w:rPr>
        <w:t>机房设备运维</w:t>
      </w:r>
      <w:bookmarkEnd w:id="26"/>
      <w:r>
        <w:rPr>
          <w:rFonts w:hint="eastAsia" w:ascii="宋体" w:hAnsi="宋体" w:cs="宋体"/>
          <w:b/>
          <w:bCs/>
          <w:sz w:val="32"/>
          <w:szCs w:val="32"/>
          <w:lang w:val="en-US" w:eastAsia="zh-CN"/>
        </w:rPr>
        <w:t xml:space="preserve">  </w:t>
      </w:r>
    </w:p>
    <w:p>
      <w:pPr>
        <w:bidi w:val="0"/>
        <w:rPr>
          <w:rFonts w:hint="eastAsia" w:ascii="宋体" w:hAnsi="宋体" w:eastAsia="宋体" w:cs="宋体"/>
          <w:sz w:val="30"/>
          <w:szCs w:val="30"/>
        </w:rPr>
      </w:pPr>
      <w:bookmarkStart w:id="27" w:name="_Toc192247520"/>
      <w:r>
        <w:rPr>
          <w:rFonts w:hint="eastAsia" w:ascii="宋体" w:hAnsi="宋体" w:eastAsia="宋体" w:cs="宋体"/>
          <w:sz w:val="30"/>
          <w:szCs w:val="30"/>
        </w:rPr>
        <w:t>3.3.1 机房设备运维</w:t>
      </w:r>
      <w:bookmarkEnd w:id="27"/>
    </w:p>
    <w:p>
      <w:pPr>
        <w:autoSpaceDE w:val="0"/>
        <w:autoSpaceDN w:val="0"/>
        <w:ind w:left="747" w:hanging="746" w:hangingChars="359"/>
        <w:rPr>
          <w:rFonts w:hint="eastAsia" w:ascii="宋体" w:hAnsi="宋体" w:eastAsia="宋体" w:cs="宋体"/>
        </w:rPr>
      </w:pPr>
      <w:r>
        <w:rPr>
          <w:rFonts w:hint="eastAsia" w:ascii="宋体" w:hAnsi="宋体" w:eastAsia="宋体" w:cs="宋体"/>
          <w:color w:val="000000"/>
          <w:spacing w:val="-1"/>
          <w:lang w:eastAsia="zh-CN"/>
        </w:rPr>
        <w:t>（</w:t>
      </w:r>
      <w:r>
        <w:rPr>
          <w:rFonts w:hint="eastAsia" w:ascii="宋体" w:hAnsi="宋体" w:eastAsia="宋体" w:cs="宋体"/>
          <w:color w:val="000000"/>
          <w:spacing w:val="-1"/>
        </w:rPr>
        <w:t>一</w:t>
      </w:r>
      <w:r>
        <w:rPr>
          <w:rFonts w:hint="eastAsia" w:ascii="宋体" w:hAnsi="宋体" w:eastAsia="宋体" w:cs="宋体"/>
          <w:color w:val="000000"/>
          <w:spacing w:val="-1"/>
          <w:lang w:eastAsia="zh-CN"/>
        </w:rPr>
        <w:t>）</w:t>
      </w:r>
      <w:r>
        <w:rPr>
          <w:rFonts w:hint="eastAsia" w:ascii="宋体" w:hAnsi="宋体" w:eastAsia="宋体" w:cs="宋体"/>
          <w:color w:val="000000"/>
          <w:spacing w:val="-1"/>
        </w:rPr>
        <w:t>、供</w:t>
      </w:r>
      <w:r>
        <w:rPr>
          <w:rFonts w:hint="eastAsia" w:ascii="宋体" w:hAnsi="宋体" w:eastAsia="宋体" w:cs="宋体"/>
          <w:color w:val="000000"/>
        </w:rPr>
        <w:t>配电系统</w:t>
      </w:r>
    </w:p>
    <w:p>
      <w:pPr>
        <w:spacing w:line="154" w:lineRule="exact"/>
        <w:ind w:left="754" w:hanging="753" w:hangingChars="359"/>
        <w:rPr>
          <w:rFonts w:hint="eastAsia" w:ascii="宋体" w:hAnsi="宋体" w:eastAsia="宋体" w:cs="宋体"/>
        </w:rPr>
      </w:pPr>
    </w:p>
    <w:p>
      <w:pPr>
        <w:rPr>
          <w:rFonts w:hint="eastAsia" w:ascii="宋体" w:hAnsi="宋体" w:eastAsia="宋体" w:cs="宋体"/>
        </w:rPr>
        <w:sectPr>
          <w:headerReference r:id="rId3" w:type="default"/>
          <w:footerReference r:id="rId4" w:type="default"/>
          <w:pgSz w:w="11900" w:h="16840"/>
          <w:pgMar w:top="1474" w:right="1304" w:bottom="1474" w:left="1304" w:header="0" w:footer="0" w:gutter="0"/>
          <w:pgBorders>
            <w:top w:val="none" w:sz="0" w:space="0"/>
            <w:left w:val="none" w:sz="0" w:space="0"/>
            <w:bottom w:val="none" w:sz="0" w:space="0"/>
            <w:right w:val="none" w:sz="0" w:space="0"/>
          </w:pgBorders>
          <w:cols w:space="720" w:num="1"/>
        </w:sectPr>
      </w:pPr>
      <w:r>
        <w:rPr>
          <w:rFonts w:hint="eastAsia" w:ascii="宋体" w:hAnsi="宋体" w:eastAsia="宋体" w:cs="宋体"/>
          <w:color w:val="000000"/>
        </w:rPr>
        <w:t>供配电系统是指通过电源由多种配电设备</w:t>
      </w:r>
      <w:r>
        <w:rPr>
          <w:rFonts w:hint="eastAsia" w:ascii="宋体" w:hAnsi="宋体" w:eastAsia="宋体" w:cs="宋体"/>
        </w:rPr>
        <w:t xml:space="preserve"> </w:t>
      </w:r>
      <w:r>
        <w:rPr>
          <w:rFonts w:hint="eastAsia" w:ascii="宋体" w:hAnsi="宋体" w:eastAsia="宋体" w:cs="宋体"/>
          <w:color w:val="000000"/>
        </w:rPr>
        <w:t>(</w:t>
      </w:r>
      <w:r>
        <w:rPr>
          <w:rFonts w:hint="eastAsia" w:ascii="宋体" w:hAnsi="宋体" w:eastAsia="宋体" w:cs="宋体"/>
        </w:rPr>
        <w:t xml:space="preserve"> </w:t>
      </w:r>
      <w:r>
        <w:rPr>
          <w:rFonts w:hint="eastAsia" w:ascii="宋体" w:hAnsi="宋体" w:eastAsia="宋体" w:cs="宋体"/>
          <w:color w:val="000000"/>
        </w:rPr>
        <w:t>或元件</w:t>
      </w:r>
      <w:r>
        <w:rPr>
          <w:rFonts w:hint="eastAsia" w:ascii="宋体" w:hAnsi="宋体" w:eastAsia="宋体" w:cs="宋体"/>
          <w:spacing w:val="-12"/>
        </w:rPr>
        <w:t xml:space="preserve"> </w:t>
      </w:r>
      <w:r>
        <w:rPr>
          <w:rFonts w:hint="eastAsia" w:ascii="宋体" w:hAnsi="宋体" w:eastAsia="宋体" w:cs="宋体"/>
          <w:color w:val="000000"/>
        </w:rPr>
        <w:t>)和配电设施所组成直接向终端用户分配电能的一个电力网络系统。是对低压配电柜、</w:t>
      </w:r>
      <w:r>
        <w:rPr>
          <w:rFonts w:hint="eastAsia" w:ascii="宋体" w:hAnsi="宋体" w:eastAsia="宋体" w:cs="宋体"/>
          <w:spacing w:val="-32"/>
        </w:rPr>
        <w:t xml:space="preserve"> </w:t>
      </w:r>
      <w:r>
        <w:rPr>
          <w:rFonts w:hint="eastAsia" w:ascii="宋体" w:hAnsi="宋体" w:eastAsia="宋体" w:cs="宋体"/>
          <w:color w:val="000000"/>
        </w:rPr>
        <w:t>UPS</w:t>
      </w:r>
      <w:r>
        <w:rPr>
          <w:rFonts w:hint="eastAsia" w:ascii="宋体" w:hAnsi="宋体" w:eastAsia="宋体" w:cs="宋体"/>
          <w:spacing w:val="-33"/>
        </w:rPr>
        <w:t xml:space="preserve"> </w:t>
      </w:r>
      <w:r>
        <w:rPr>
          <w:rFonts w:hint="eastAsia" w:ascii="宋体" w:hAnsi="宋体" w:eastAsia="宋体" w:cs="宋体"/>
          <w:color w:val="000000"/>
        </w:rPr>
        <w:t>系统等的</w:t>
      </w:r>
      <w:r>
        <w:rPr>
          <w:rFonts w:hint="eastAsia" w:ascii="宋体" w:hAnsi="宋体" w:eastAsia="宋体" w:cs="宋体"/>
          <w:color w:val="000000"/>
          <w:spacing w:val="-1"/>
        </w:rPr>
        <w:t>统</w:t>
      </w:r>
      <w:r>
        <w:rPr>
          <w:rFonts w:hint="eastAsia" w:ascii="宋体" w:hAnsi="宋体" w:eastAsia="宋体" w:cs="宋体"/>
          <w:color w:val="000000"/>
        </w:rPr>
        <w:t>称</w:t>
      </w:r>
      <w:r>
        <w:rPr>
          <w:rFonts w:hint="eastAsia" w:ascii="宋体" w:hAnsi="宋体" w:eastAsia="宋体" w:cs="宋体"/>
          <w:color w:val="000000"/>
          <w:spacing w:val="-2"/>
        </w:rPr>
        <w:t>。</w:t>
      </w:r>
    </w:p>
    <w:p>
      <w:pPr>
        <w:rPr>
          <w:rFonts w:hint="eastAsia" w:ascii="宋体" w:hAnsi="宋体" w:eastAsia="宋体" w:cs="宋体"/>
        </w:rPr>
        <w:sectPr>
          <w:type w:val="continuous"/>
          <w:pgSz w:w="11900" w:h="16840"/>
          <w:pgMar w:top="0" w:right="0" w:bottom="0" w:left="0" w:header="0" w:footer="0" w:gutter="0"/>
          <w:pgBorders>
            <w:top w:val="none" w:sz="0" w:space="0"/>
            <w:left w:val="none" w:sz="0" w:space="0"/>
            <w:bottom w:val="none" w:sz="0" w:space="0"/>
            <w:right w:val="none" w:sz="0" w:space="0"/>
          </w:pgBorders>
          <w:cols w:space="720" w:num="1"/>
        </w:sectPr>
      </w:pPr>
    </w:p>
    <w:p>
      <w:pPr>
        <w:autoSpaceDE w:val="0"/>
        <w:autoSpaceDN w:val="0"/>
        <w:rPr>
          <w:rFonts w:hint="eastAsia" w:ascii="宋体" w:hAnsi="宋体" w:eastAsia="宋体" w:cs="宋体"/>
        </w:rPr>
      </w:pPr>
      <w:r>
        <w:rPr>
          <w:rFonts w:hint="eastAsia" w:ascii="宋体" w:hAnsi="宋体" w:eastAsia="宋体" w:cs="宋体"/>
          <w:color w:val="000000"/>
        </w:rPr>
        <w:t>1.</w:t>
      </w:r>
      <w:r>
        <w:rPr>
          <w:rFonts w:hint="eastAsia" w:ascii="宋体" w:hAnsi="宋体" w:eastAsia="宋体" w:cs="宋体"/>
          <w:color w:val="000000"/>
          <w:spacing w:val="-1"/>
        </w:rPr>
        <w:t>2</w:t>
      </w:r>
      <w:r>
        <w:rPr>
          <w:rFonts w:hint="eastAsia" w:ascii="宋体" w:hAnsi="宋体" w:eastAsia="宋体" w:cs="宋体"/>
          <w:color w:val="000000"/>
        </w:rPr>
        <w:t>.2</w:t>
      </w:r>
      <w:r>
        <w:rPr>
          <w:rFonts w:hint="eastAsia" w:ascii="宋体" w:hAnsi="宋体" w:eastAsia="宋体" w:cs="宋体"/>
          <w:spacing w:val="-60"/>
        </w:rPr>
        <w:t xml:space="preserve"> </w:t>
      </w:r>
      <w:r>
        <w:rPr>
          <w:rFonts w:hint="eastAsia" w:ascii="宋体" w:hAnsi="宋体" w:eastAsia="宋体" w:cs="宋体"/>
          <w:color w:val="000000"/>
        </w:rPr>
        <w:t>季</w:t>
      </w:r>
      <w:r>
        <w:rPr>
          <w:rFonts w:hint="eastAsia" w:ascii="宋体" w:hAnsi="宋体" w:eastAsia="宋体" w:cs="宋体"/>
          <w:color w:val="000000"/>
          <w:spacing w:val="-1"/>
        </w:rPr>
        <w:t>维护</w:t>
      </w:r>
    </w:p>
    <w:p>
      <w:pPr>
        <w:spacing w:line="155" w:lineRule="exact"/>
        <w:ind w:left="754" w:hanging="753" w:hangingChars="359"/>
        <w:rPr>
          <w:rFonts w:hint="eastAsia" w:ascii="宋体" w:hAnsi="宋体" w:eastAsia="宋体" w:cs="宋体"/>
        </w:rPr>
      </w:pPr>
    </w:p>
    <w:p>
      <w:pPr>
        <w:autoSpaceDE w:val="0"/>
        <w:autoSpaceDN w:val="0"/>
        <w:ind w:left="732" w:hanging="732" w:hangingChars="359"/>
        <w:rPr>
          <w:rFonts w:hint="eastAsia" w:ascii="宋体" w:hAnsi="宋体" w:eastAsia="宋体" w:cs="宋体"/>
        </w:rPr>
      </w:pPr>
      <w:r>
        <w:rPr>
          <w:rFonts w:hint="eastAsia" w:ascii="宋体" w:hAnsi="宋体" w:eastAsia="宋体" w:cs="宋体"/>
          <w:color w:val="000000"/>
          <w:spacing w:val="-3"/>
        </w:rPr>
        <w:t>供配电系统</w:t>
      </w:r>
      <w:r>
        <w:rPr>
          <w:rFonts w:hint="eastAsia" w:ascii="宋体" w:hAnsi="宋体" w:eastAsia="宋体" w:cs="宋体"/>
          <w:color w:val="000000"/>
          <w:spacing w:val="-2"/>
        </w:rPr>
        <w:t>季</w:t>
      </w:r>
      <w:r>
        <w:rPr>
          <w:rFonts w:hint="eastAsia" w:ascii="宋体" w:hAnsi="宋体" w:eastAsia="宋体" w:cs="宋体"/>
          <w:color w:val="000000"/>
          <w:spacing w:val="-3"/>
        </w:rPr>
        <w:t>维护属于部分检修性维护，</w:t>
      </w:r>
      <w:r>
        <w:rPr>
          <w:rFonts w:hint="eastAsia" w:ascii="宋体" w:hAnsi="宋体" w:eastAsia="宋体" w:cs="宋体"/>
          <w:color w:val="000000"/>
          <w:spacing w:val="-2"/>
        </w:rPr>
        <w:t>应</w:t>
      </w:r>
      <w:r>
        <w:rPr>
          <w:rFonts w:hint="eastAsia" w:ascii="宋体" w:hAnsi="宋体" w:eastAsia="宋体" w:cs="宋体"/>
          <w:color w:val="000000"/>
          <w:spacing w:val="-3"/>
        </w:rPr>
        <w:t>根据具体情况对相关设备停电</w:t>
      </w:r>
      <w:r>
        <w:rPr>
          <w:rFonts w:hint="eastAsia" w:ascii="宋体" w:hAnsi="宋体" w:eastAsia="宋体" w:cs="宋体"/>
          <w:color w:val="000000"/>
          <w:spacing w:val="-2"/>
        </w:rPr>
        <w:t>后</w:t>
      </w:r>
    </w:p>
    <w:p>
      <w:pPr>
        <w:spacing w:line="157" w:lineRule="exact"/>
        <w:ind w:left="754" w:hanging="753" w:hangingChars="359"/>
        <w:rPr>
          <w:rFonts w:hint="eastAsia" w:ascii="宋体" w:hAnsi="宋体" w:eastAsia="宋体" w:cs="宋体"/>
        </w:rPr>
      </w:pPr>
    </w:p>
    <w:p>
      <w:pPr>
        <w:autoSpaceDE w:val="0"/>
        <w:autoSpaceDN w:val="0"/>
        <w:ind w:left="747" w:hanging="746" w:hangingChars="359"/>
        <w:rPr>
          <w:rFonts w:hint="eastAsia" w:ascii="宋体" w:hAnsi="宋体" w:eastAsia="宋体" w:cs="宋体"/>
        </w:rPr>
      </w:pPr>
      <w:r>
        <w:rPr>
          <w:rFonts w:hint="eastAsia" w:ascii="宋体" w:hAnsi="宋体" w:eastAsia="宋体" w:cs="宋体"/>
          <w:color w:val="000000"/>
          <w:spacing w:val="-1"/>
        </w:rPr>
        <w:t>进行。</w:t>
      </w:r>
    </w:p>
    <w:p>
      <w:pPr>
        <w:spacing w:line="154" w:lineRule="exact"/>
        <w:ind w:left="754" w:hanging="753" w:hangingChars="359"/>
        <w:rPr>
          <w:rFonts w:hint="eastAsia" w:ascii="宋体" w:hAnsi="宋体" w:eastAsia="宋体" w:cs="宋体"/>
        </w:rPr>
      </w:pPr>
    </w:p>
    <w:p>
      <w:pPr>
        <w:autoSpaceDE w:val="0"/>
        <w:autoSpaceDN w:val="0"/>
        <w:ind w:left="754" w:hanging="753" w:hangingChars="359"/>
        <w:rPr>
          <w:rFonts w:hint="eastAsia" w:ascii="宋体" w:hAnsi="宋体" w:eastAsia="宋体" w:cs="宋体"/>
        </w:rPr>
      </w:pPr>
      <w:r>
        <w:rPr>
          <w:rFonts w:hint="eastAsia" w:ascii="宋体" w:hAnsi="宋体" w:eastAsia="宋体" w:cs="宋体"/>
          <w:color w:val="000000"/>
        </w:rPr>
        <w:t>a)</w:t>
      </w:r>
      <w:r>
        <w:rPr>
          <w:rFonts w:hint="eastAsia" w:ascii="宋体" w:hAnsi="宋体" w:eastAsia="宋体" w:cs="宋体"/>
          <w:spacing w:val="-1"/>
        </w:rPr>
        <w:t xml:space="preserve"> </w:t>
      </w:r>
      <w:r>
        <w:rPr>
          <w:rFonts w:hint="eastAsia" w:ascii="宋体" w:hAnsi="宋体" w:eastAsia="宋体" w:cs="宋体"/>
          <w:color w:val="000000"/>
        </w:rPr>
        <w:t>完成设备的</w:t>
      </w:r>
      <w:r>
        <w:rPr>
          <w:rFonts w:hint="eastAsia" w:ascii="宋体" w:hAnsi="宋体" w:eastAsia="宋体" w:cs="宋体"/>
          <w:color w:val="000000"/>
          <w:spacing w:val="-1"/>
        </w:rPr>
        <w:t>月</w:t>
      </w:r>
      <w:r>
        <w:rPr>
          <w:rFonts w:hint="eastAsia" w:ascii="宋体" w:hAnsi="宋体" w:eastAsia="宋体" w:cs="宋体"/>
          <w:color w:val="000000"/>
        </w:rPr>
        <w:t>维护工作。</w:t>
      </w:r>
    </w:p>
    <w:p>
      <w:pPr>
        <w:spacing w:line="155" w:lineRule="exact"/>
        <w:ind w:left="754" w:hanging="753" w:hangingChars="359"/>
        <w:rPr>
          <w:rFonts w:hint="eastAsia" w:ascii="宋体" w:hAnsi="宋体" w:eastAsia="宋体" w:cs="宋体"/>
        </w:rPr>
      </w:pPr>
    </w:p>
    <w:p>
      <w:pPr>
        <w:autoSpaceDE w:val="0"/>
        <w:autoSpaceDN w:val="0"/>
        <w:ind w:right="1791"/>
        <w:rPr>
          <w:rFonts w:hint="eastAsia" w:ascii="宋体" w:hAnsi="宋体" w:eastAsia="宋体" w:cs="宋体"/>
        </w:rPr>
      </w:pPr>
      <w:r>
        <w:rPr>
          <w:rFonts w:hint="eastAsia" w:ascii="宋体" w:hAnsi="宋体" w:eastAsia="宋体" w:cs="宋体"/>
          <w:color w:val="000000"/>
        </w:rPr>
        <w:t>b)</w:t>
      </w:r>
      <w:r>
        <w:rPr>
          <w:rFonts w:hint="eastAsia" w:ascii="宋体" w:hAnsi="宋体" w:eastAsia="宋体" w:cs="宋体"/>
        </w:rPr>
        <w:t xml:space="preserve"> </w:t>
      </w:r>
      <w:r>
        <w:rPr>
          <w:rFonts w:hint="eastAsia" w:ascii="宋体" w:hAnsi="宋体" w:eastAsia="宋体" w:cs="宋体"/>
          <w:color w:val="000000"/>
        </w:rPr>
        <w:t>针对日巡视及</w:t>
      </w:r>
      <w:r>
        <w:rPr>
          <w:rFonts w:hint="eastAsia" w:ascii="宋体" w:hAnsi="宋体" w:eastAsia="宋体" w:cs="宋体"/>
          <w:color w:val="000000"/>
          <w:spacing w:val="-1"/>
        </w:rPr>
        <w:t>月</w:t>
      </w:r>
      <w:r>
        <w:rPr>
          <w:rFonts w:hint="eastAsia" w:ascii="宋体" w:hAnsi="宋体" w:eastAsia="宋体" w:cs="宋体"/>
          <w:color w:val="000000"/>
        </w:rPr>
        <w:t>巡视相关记录</w:t>
      </w:r>
      <w:r>
        <w:rPr>
          <w:rFonts w:hint="eastAsia" w:ascii="宋体" w:hAnsi="宋体" w:eastAsia="宋体" w:cs="宋体"/>
          <w:color w:val="000000"/>
          <w:spacing w:val="-1"/>
        </w:rPr>
        <w:t>对</w:t>
      </w:r>
      <w:r>
        <w:rPr>
          <w:rFonts w:hint="eastAsia" w:ascii="宋体" w:hAnsi="宋体" w:eastAsia="宋体" w:cs="宋体"/>
          <w:color w:val="000000"/>
        </w:rPr>
        <w:t>负荷量较大及</w:t>
      </w:r>
      <w:r>
        <w:rPr>
          <w:rFonts w:hint="eastAsia" w:ascii="宋体" w:hAnsi="宋体" w:eastAsia="宋体" w:cs="宋体"/>
          <w:color w:val="000000"/>
          <w:spacing w:val="-1"/>
        </w:rPr>
        <w:t>负荷</w:t>
      </w:r>
      <w:r>
        <w:rPr>
          <w:rFonts w:hint="eastAsia" w:ascii="宋体" w:hAnsi="宋体" w:eastAsia="宋体" w:cs="宋体"/>
          <w:color w:val="000000"/>
        </w:rPr>
        <w:t>变化较大的线路及开</w:t>
      </w:r>
      <w:r>
        <w:rPr>
          <w:rFonts w:hint="eastAsia" w:ascii="宋体" w:hAnsi="宋体" w:eastAsia="宋体" w:cs="宋体"/>
          <w:color w:val="000000"/>
          <w:spacing w:val="-3"/>
        </w:rPr>
        <w:t>关接线处进行检查，对松动部件进行</w:t>
      </w:r>
      <w:r>
        <w:rPr>
          <w:rFonts w:hint="eastAsia" w:ascii="宋体" w:hAnsi="宋体" w:eastAsia="宋体" w:cs="宋体"/>
          <w:color w:val="000000"/>
          <w:spacing w:val="-2"/>
        </w:rPr>
        <w:t>紧</w:t>
      </w:r>
      <w:r>
        <w:rPr>
          <w:rFonts w:hint="eastAsia" w:ascii="宋体" w:hAnsi="宋体" w:eastAsia="宋体" w:cs="宋体"/>
          <w:color w:val="000000"/>
          <w:spacing w:val="-3"/>
        </w:rPr>
        <w:t>固。紧固工作应停电进行，停电前注意确</w:t>
      </w:r>
      <w:r>
        <w:rPr>
          <w:rFonts w:hint="eastAsia" w:ascii="宋体" w:hAnsi="宋体" w:eastAsia="宋体" w:cs="宋体"/>
          <w:color w:val="000000"/>
        </w:rPr>
        <w:t>认</w:t>
      </w:r>
      <w:r>
        <w:rPr>
          <w:rFonts w:hint="eastAsia" w:ascii="宋体" w:hAnsi="宋体" w:eastAsia="宋体" w:cs="宋体"/>
          <w:color w:val="000000"/>
          <w:spacing w:val="-1"/>
        </w:rPr>
        <w:t>，</w:t>
      </w:r>
      <w:r>
        <w:rPr>
          <w:rFonts w:hint="eastAsia" w:ascii="宋体" w:hAnsi="宋体" w:eastAsia="宋体" w:cs="宋体"/>
          <w:color w:val="000000"/>
        </w:rPr>
        <w:t>以防</w:t>
      </w:r>
      <w:r>
        <w:rPr>
          <w:rFonts w:hint="eastAsia" w:ascii="宋体" w:hAnsi="宋体" w:eastAsia="宋体" w:cs="宋体"/>
          <w:color w:val="000000"/>
          <w:spacing w:val="-1"/>
        </w:rPr>
        <w:t>误操</w:t>
      </w:r>
      <w:r>
        <w:rPr>
          <w:rFonts w:hint="eastAsia" w:ascii="宋体" w:hAnsi="宋体" w:eastAsia="宋体" w:cs="宋体"/>
          <w:color w:val="000000"/>
        </w:rPr>
        <w:t>作。</w:t>
      </w:r>
    </w:p>
    <w:p>
      <w:pPr>
        <w:autoSpaceDE w:val="0"/>
        <w:autoSpaceDN w:val="0"/>
        <w:spacing w:before="3"/>
        <w:ind w:left="754" w:hanging="753" w:hangingChars="359"/>
        <w:rPr>
          <w:rFonts w:hint="eastAsia" w:ascii="宋体" w:hAnsi="宋体" w:eastAsia="宋体" w:cs="宋体"/>
        </w:rPr>
      </w:pPr>
      <w:r>
        <w:rPr>
          <w:rFonts w:hint="eastAsia" w:ascii="宋体" w:hAnsi="宋体" w:eastAsia="宋体" w:cs="宋体"/>
          <w:color w:val="000000"/>
        </w:rPr>
        <w:t>c)</w:t>
      </w:r>
      <w:r>
        <w:rPr>
          <w:rFonts w:hint="eastAsia" w:ascii="宋体" w:hAnsi="宋体" w:eastAsia="宋体" w:cs="宋体"/>
        </w:rPr>
        <w:t xml:space="preserve"> </w:t>
      </w:r>
      <w:r>
        <w:rPr>
          <w:rFonts w:hint="eastAsia" w:ascii="宋体" w:hAnsi="宋体" w:eastAsia="宋体" w:cs="宋体"/>
          <w:color w:val="000000"/>
        </w:rPr>
        <w:t>对配电柜进行</w:t>
      </w:r>
      <w:r>
        <w:rPr>
          <w:rFonts w:hint="eastAsia" w:ascii="宋体" w:hAnsi="宋体" w:eastAsia="宋体" w:cs="宋体"/>
          <w:color w:val="000000"/>
          <w:spacing w:val="-1"/>
        </w:rPr>
        <w:t>全</w:t>
      </w:r>
      <w:r>
        <w:rPr>
          <w:rFonts w:hint="eastAsia" w:ascii="宋体" w:hAnsi="宋体" w:eastAsia="宋体" w:cs="宋体"/>
          <w:color w:val="000000"/>
        </w:rPr>
        <w:t>面除尘，除尘应使用专用工具，并</w:t>
      </w:r>
      <w:r>
        <w:rPr>
          <w:rFonts w:hint="eastAsia" w:ascii="宋体" w:hAnsi="宋体" w:eastAsia="宋体" w:cs="宋体"/>
          <w:color w:val="000000"/>
          <w:spacing w:val="-1"/>
        </w:rPr>
        <w:t>且</w:t>
      </w:r>
      <w:r>
        <w:rPr>
          <w:rFonts w:hint="eastAsia" w:ascii="宋体" w:hAnsi="宋体" w:eastAsia="宋体" w:cs="宋体"/>
          <w:color w:val="000000"/>
        </w:rPr>
        <w:t>工作人员不可踩踏</w:t>
      </w:r>
    </w:p>
    <w:p>
      <w:pPr>
        <w:spacing w:line="156" w:lineRule="exact"/>
        <w:ind w:left="754" w:hanging="753" w:hangingChars="359"/>
        <w:rPr>
          <w:rFonts w:hint="eastAsia" w:ascii="宋体" w:hAnsi="宋体" w:eastAsia="宋体" w:cs="宋体"/>
        </w:rPr>
      </w:pPr>
    </w:p>
    <w:p>
      <w:pPr>
        <w:autoSpaceDE w:val="0"/>
        <w:autoSpaceDN w:val="0"/>
        <w:ind w:left="754" w:hanging="753" w:hangingChars="359"/>
        <w:rPr>
          <w:rFonts w:hint="eastAsia" w:ascii="宋体" w:hAnsi="宋体" w:eastAsia="宋体" w:cs="宋体"/>
        </w:rPr>
      </w:pPr>
      <w:r>
        <w:rPr>
          <w:rFonts w:hint="eastAsia" w:ascii="宋体" w:hAnsi="宋体" w:eastAsia="宋体" w:cs="宋体"/>
          <w:color w:val="000000"/>
        </w:rPr>
        <w:t>配电</w:t>
      </w:r>
      <w:r>
        <w:rPr>
          <w:rFonts w:hint="eastAsia" w:ascii="宋体" w:hAnsi="宋体" w:eastAsia="宋体" w:cs="宋体"/>
          <w:color w:val="000000"/>
          <w:spacing w:val="-1"/>
        </w:rPr>
        <w:t>箱柜。</w:t>
      </w:r>
    </w:p>
    <w:p>
      <w:pPr>
        <w:spacing w:line="155" w:lineRule="exact"/>
        <w:ind w:left="754" w:hanging="753" w:hangingChars="359"/>
        <w:rPr>
          <w:rFonts w:hint="eastAsia" w:ascii="宋体" w:hAnsi="宋体" w:eastAsia="宋体" w:cs="宋体"/>
        </w:rPr>
      </w:pPr>
    </w:p>
    <w:p>
      <w:pPr>
        <w:bidi w:val="0"/>
        <w:rPr>
          <w:rFonts w:hint="eastAsia" w:ascii="宋体" w:hAnsi="宋体" w:eastAsia="宋体" w:cs="宋体"/>
        </w:rPr>
      </w:pPr>
      <w:r>
        <w:rPr>
          <w:rFonts w:hint="eastAsia" w:ascii="宋体" w:hAnsi="宋体" w:eastAsia="宋体" w:cs="宋体"/>
        </w:rPr>
        <w:t xml:space="preserve">1.2.3 </w:t>
      </w:r>
      <w:r>
        <w:rPr>
          <w:rFonts w:hint="eastAsia" w:ascii="宋体" w:hAnsi="宋体" w:eastAsia="宋体" w:cs="宋体"/>
          <w:lang w:val="en-US" w:eastAsia="zh-CN"/>
        </w:rPr>
        <w:t xml:space="preserve">    年度</w:t>
      </w:r>
      <w:r>
        <w:rPr>
          <w:rFonts w:hint="eastAsia" w:ascii="宋体" w:hAnsi="宋体" w:eastAsia="宋体" w:cs="宋体"/>
        </w:rPr>
        <w:t>维护</w:t>
      </w:r>
    </w:p>
    <w:p>
      <w:pPr>
        <w:spacing w:line="155" w:lineRule="exact"/>
        <w:ind w:left="754" w:hanging="753" w:hangingChars="359"/>
        <w:rPr>
          <w:rFonts w:hint="eastAsia" w:ascii="宋体" w:hAnsi="宋体" w:eastAsia="宋体" w:cs="宋体"/>
        </w:rPr>
      </w:pPr>
    </w:p>
    <w:p>
      <w:pPr>
        <w:autoSpaceDE w:val="0"/>
        <w:autoSpaceDN w:val="0"/>
        <w:ind w:left="754" w:hanging="753" w:hangingChars="359"/>
        <w:rPr>
          <w:rFonts w:hint="eastAsia" w:ascii="宋体" w:hAnsi="宋体" w:eastAsia="宋体" w:cs="宋体"/>
        </w:rPr>
      </w:pPr>
      <w:r>
        <w:rPr>
          <w:rFonts w:hint="eastAsia" w:ascii="宋体" w:hAnsi="宋体" w:eastAsia="宋体" w:cs="宋体"/>
          <w:color w:val="000000"/>
        </w:rPr>
        <w:t>年</w:t>
      </w:r>
      <w:r>
        <w:rPr>
          <w:rFonts w:hint="eastAsia" w:ascii="宋体" w:hAnsi="宋体" w:eastAsia="宋体" w:cs="宋体"/>
          <w:color w:val="000000"/>
          <w:lang w:val="en-US" w:eastAsia="zh-CN"/>
        </w:rPr>
        <w:t>度</w:t>
      </w:r>
      <w:r>
        <w:rPr>
          <w:rFonts w:hint="eastAsia" w:ascii="宋体" w:hAnsi="宋体" w:eastAsia="宋体" w:cs="宋体"/>
          <w:color w:val="000000"/>
        </w:rPr>
        <w:t>维护</w:t>
      </w:r>
      <w:r>
        <w:rPr>
          <w:rFonts w:hint="eastAsia" w:ascii="宋体" w:hAnsi="宋体" w:eastAsia="宋体" w:cs="宋体"/>
          <w:color w:val="000000"/>
          <w:spacing w:val="-1"/>
        </w:rPr>
        <w:t>属</w:t>
      </w:r>
      <w:r>
        <w:rPr>
          <w:rFonts w:hint="eastAsia" w:ascii="宋体" w:hAnsi="宋体" w:eastAsia="宋体" w:cs="宋体"/>
          <w:color w:val="000000"/>
        </w:rPr>
        <w:t>于预防性</w:t>
      </w:r>
      <w:r>
        <w:rPr>
          <w:rFonts w:hint="eastAsia" w:ascii="宋体" w:hAnsi="宋体" w:eastAsia="宋体" w:cs="宋体"/>
          <w:color w:val="000000"/>
          <w:spacing w:val="-1"/>
        </w:rPr>
        <w:t>维护</w:t>
      </w:r>
      <w:r>
        <w:rPr>
          <w:rFonts w:hint="eastAsia" w:ascii="宋体" w:hAnsi="宋体" w:eastAsia="宋体" w:cs="宋体"/>
          <w:color w:val="000000"/>
        </w:rPr>
        <w:t>，应停电进行。</w:t>
      </w:r>
    </w:p>
    <w:p>
      <w:pPr>
        <w:spacing w:line="156" w:lineRule="exact"/>
        <w:ind w:left="754" w:hanging="753" w:hangingChars="359"/>
        <w:rPr>
          <w:rFonts w:hint="eastAsia" w:ascii="宋体" w:hAnsi="宋体" w:eastAsia="宋体" w:cs="宋体"/>
        </w:rPr>
      </w:pPr>
    </w:p>
    <w:p>
      <w:pPr>
        <w:autoSpaceDE w:val="0"/>
        <w:autoSpaceDN w:val="0"/>
        <w:ind w:left="754" w:hanging="753" w:hangingChars="359"/>
        <w:rPr>
          <w:rFonts w:hint="eastAsia" w:ascii="宋体" w:hAnsi="宋体" w:eastAsia="宋体" w:cs="宋体"/>
        </w:rPr>
      </w:pPr>
      <w:r>
        <w:rPr>
          <w:rFonts w:hint="eastAsia" w:ascii="宋体" w:hAnsi="宋体" w:eastAsia="宋体" w:cs="宋体"/>
          <w:color w:val="000000"/>
        </w:rPr>
        <w:t>a)</w:t>
      </w:r>
      <w:r>
        <w:rPr>
          <w:rFonts w:hint="eastAsia" w:ascii="宋体" w:hAnsi="宋体" w:eastAsia="宋体" w:cs="宋体"/>
          <w:spacing w:val="-1"/>
        </w:rPr>
        <w:t xml:space="preserve"> </w:t>
      </w:r>
      <w:r>
        <w:rPr>
          <w:rFonts w:hint="eastAsia" w:ascii="宋体" w:hAnsi="宋体" w:eastAsia="宋体" w:cs="宋体"/>
          <w:color w:val="000000"/>
        </w:rPr>
        <w:t>完成设备的</w:t>
      </w:r>
      <w:r>
        <w:rPr>
          <w:rFonts w:hint="eastAsia" w:ascii="宋体" w:hAnsi="宋体" w:eastAsia="宋体" w:cs="宋体"/>
          <w:color w:val="000000"/>
          <w:spacing w:val="-1"/>
        </w:rPr>
        <w:t>季</w:t>
      </w:r>
      <w:r>
        <w:rPr>
          <w:rFonts w:hint="eastAsia" w:ascii="宋体" w:hAnsi="宋体" w:eastAsia="宋体" w:cs="宋体"/>
          <w:color w:val="000000"/>
        </w:rPr>
        <w:t>度维护工作。</w:t>
      </w:r>
    </w:p>
    <w:p>
      <w:pPr>
        <w:spacing w:line="155" w:lineRule="exact"/>
        <w:ind w:left="754" w:hanging="753" w:hangingChars="359"/>
        <w:rPr>
          <w:rFonts w:hint="eastAsia" w:ascii="宋体" w:hAnsi="宋体" w:eastAsia="宋体" w:cs="宋体"/>
        </w:rPr>
      </w:pPr>
    </w:p>
    <w:p>
      <w:pPr>
        <w:autoSpaceDE w:val="0"/>
        <w:autoSpaceDN w:val="0"/>
        <w:ind w:left="754" w:hanging="753" w:hangingChars="359"/>
        <w:rPr>
          <w:rFonts w:hint="eastAsia" w:ascii="宋体" w:hAnsi="宋体" w:eastAsia="宋体" w:cs="宋体"/>
        </w:rPr>
      </w:pPr>
      <w:r>
        <w:rPr>
          <w:rFonts w:hint="eastAsia" w:ascii="宋体" w:hAnsi="宋体" w:eastAsia="宋体" w:cs="宋体"/>
          <w:color w:val="000000"/>
        </w:rPr>
        <w:t>b)</w:t>
      </w:r>
      <w:r>
        <w:rPr>
          <w:rFonts w:hint="eastAsia" w:ascii="宋体" w:hAnsi="宋体" w:eastAsia="宋体" w:cs="宋体"/>
        </w:rPr>
        <w:t xml:space="preserve"> </w:t>
      </w:r>
      <w:r>
        <w:rPr>
          <w:rFonts w:hint="eastAsia" w:ascii="宋体" w:hAnsi="宋体" w:eastAsia="宋体" w:cs="宋体"/>
          <w:color w:val="000000"/>
        </w:rPr>
        <w:t>清</w:t>
      </w:r>
      <w:r>
        <w:rPr>
          <w:rFonts w:hint="eastAsia" w:ascii="宋体" w:hAnsi="宋体" w:eastAsia="宋体" w:cs="宋体"/>
          <w:color w:val="000000"/>
          <w:spacing w:val="-1"/>
        </w:rPr>
        <w:t>扫</w:t>
      </w:r>
      <w:r>
        <w:rPr>
          <w:rFonts w:hint="eastAsia" w:ascii="宋体" w:hAnsi="宋体" w:eastAsia="宋体" w:cs="宋体"/>
          <w:color w:val="000000"/>
        </w:rPr>
        <w:t>变配电设备内</w:t>
      </w:r>
      <w:r>
        <w:rPr>
          <w:rFonts w:hint="eastAsia" w:ascii="宋体" w:hAnsi="宋体" w:eastAsia="宋体" w:cs="宋体"/>
          <w:color w:val="000000"/>
          <w:spacing w:val="-1"/>
        </w:rPr>
        <w:t>外</w:t>
      </w:r>
      <w:r>
        <w:rPr>
          <w:rFonts w:hint="eastAsia" w:ascii="宋体" w:hAnsi="宋体" w:eastAsia="宋体" w:cs="宋体"/>
          <w:color w:val="000000"/>
        </w:rPr>
        <w:t>卫生。</w:t>
      </w:r>
    </w:p>
    <w:p>
      <w:pPr>
        <w:spacing w:line="155" w:lineRule="exact"/>
        <w:ind w:left="754" w:hanging="753" w:hangingChars="359"/>
        <w:rPr>
          <w:rFonts w:hint="eastAsia" w:ascii="宋体" w:hAnsi="宋体" w:eastAsia="宋体" w:cs="宋体"/>
        </w:rPr>
      </w:pPr>
    </w:p>
    <w:p>
      <w:pPr>
        <w:autoSpaceDE w:val="0"/>
        <w:autoSpaceDN w:val="0"/>
        <w:ind w:left="754" w:hanging="753" w:hangingChars="359"/>
        <w:rPr>
          <w:rFonts w:hint="eastAsia" w:ascii="宋体" w:hAnsi="宋体" w:eastAsia="宋体" w:cs="宋体"/>
        </w:rPr>
      </w:pPr>
      <w:r>
        <w:rPr>
          <w:rFonts w:hint="eastAsia" w:ascii="宋体" w:hAnsi="宋体" w:eastAsia="宋体" w:cs="宋体"/>
          <w:color w:val="000000"/>
        </w:rPr>
        <w:t>c)</w:t>
      </w:r>
      <w:r>
        <w:rPr>
          <w:rFonts w:hint="eastAsia" w:ascii="宋体" w:hAnsi="宋体" w:eastAsia="宋体" w:cs="宋体"/>
        </w:rPr>
        <w:t xml:space="preserve"> </w:t>
      </w:r>
      <w:r>
        <w:rPr>
          <w:rFonts w:hint="eastAsia" w:ascii="宋体" w:hAnsi="宋体" w:eastAsia="宋体" w:cs="宋体"/>
          <w:color w:val="000000"/>
        </w:rPr>
        <w:t>检查电器元件的操作机构是否</w:t>
      </w:r>
      <w:r>
        <w:rPr>
          <w:rFonts w:hint="eastAsia" w:ascii="宋体" w:hAnsi="宋体" w:eastAsia="宋体" w:cs="宋体"/>
          <w:color w:val="000000"/>
          <w:spacing w:val="-1"/>
        </w:rPr>
        <w:t>灵活</w:t>
      </w:r>
      <w:r>
        <w:rPr>
          <w:rFonts w:hint="eastAsia" w:ascii="宋体" w:hAnsi="宋体" w:eastAsia="宋体" w:cs="宋体"/>
          <w:color w:val="000000"/>
        </w:rPr>
        <w:t>，不应有卡涩或操作力过大现象。</w:t>
      </w:r>
    </w:p>
    <w:p>
      <w:pPr>
        <w:spacing w:line="156" w:lineRule="exact"/>
        <w:ind w:left="754" w:hanging="753" w:hangingChars="359"/>
        <w:rPr>
          <w:rFonts w:hint="eastAsia" w:ascii="宋体" w:hAnsi="宋体" w:eastAsia="宋体" w:cs="宋体"/>
        </w:rPr>
      </w:pPr>
    </w:p>
    <w:p>
      <w:pPr>
        <w:autoSpaceDE w:val="0"/>
        <w:autoSpaceDN w:val="0"/>
        <w:ind w:left="754" w:hanging="753" w:hangingChars="359"/>
        <w:rPr>
          <w:rFonts w:hint="eastAsia" w:ascii="宋体" w:hAnsi="宋体" w:eastAsia="宋体" w:cs="宋体"/>
        </w:rPr>
        <w:sectPr>
          <w:type w:val="continuous"/>
          <w:pgSz w:w="11900" w:h="16840"/>
          <w:pgMar w:top="0" w:right="0" w:bottom="0" w:left="1200" w:header="0" w:footer="0" w:gutter="0"/>
          <w:pgBorders>
            <w:top w:val="none" w:sz="0" w:space="0"/>
            <w:left w:val="none" w:sz="0" w:space="0"/>
            <w:bottom w:val="none" w:sz="0" w:space="0"/>
            <w:right w:val="none" w:sz="0" w:space="0"/>
          </w:pgBorders>
          <w:cols w:space="720" w:num="1"/>
        </w:sectPr>
      </w:pPr>
      <w:r>
        <w:rPr>
          <w:rFonts w:hint="eastAsia" w:ascii="宋体" w:hAnsi="宋体" w:eastAsia="宋体" w:cs="宋体"/>
          <w:color w:val="000000"/>
        </w:rPr>
        <w:t>d)</w:t>
      </w:r>
      <w:r>
        <w:rPr>
          <w:rFonts w:hint="eastAsia" w:ascii="宋体" w:hAnsi="宋体" w:eastAsia="宋体" w:cs="宋体"/>
        </w:rPr>
        <w:t xml:space="preserve"> </w:t>
      </w:r>
      <w:r>
        <w:rPr>
          <w:rFonts w:hint="eastAsia" w:ascii="宋体" w:hAnsi="宋体" w:eastAsia="宋体" w:cs="宋体"/>
          <w:color w:val="000000"/>
        </w:rPr>
        <w:t>检查主要电</w:t>
      </w:r>
      <w:r>
        <w:rPr>
          <w:rFonts w:hint="eastAsia" w:ascii="宋体" w:hAnsi="宋体" w:eastAsia="宋体" w:cs="宋体"/>
          <w:color w:val="000000"/>
          <w:spacing w:val="-1"/>
        </w:rPr>
        <w:t>器</w:t>
      </w:r>
      <w:r>
        <w:rPr>
          <w:rFonts w:hint="eastAsia" w:ascii="宋体" w:hAnsi="宋体" w:eastAsia="宋体" w:cs="宋体"/>
          <w:color w:val="000000"/>
        </w:rPr>
        <w:t>的主辅触头的通断是否可</w:t>
      </w:r>
      <w:r>
        <w:rPr>
          <w:rFonts w:hint="eastAsia" w:ascii="宋体" w:hAnsi="宋体" w:eastAsia="宋体" w:cs="宋体"/>
          <w:color w:val="000000"/>
          <w:spacing w:val="-1"/>
        </w:rPr>
        <w:t>靠</w:t>
      </w:r>
    </w:p>
    <w:p>
      <w:pPr>
        <w:autoSpaceDE w:val="0"/>
        <w:autoSpaceDN w:val="0"/>
        <w:rPr>
          <w:rFonts w:hint="eastAsia" w:ascii="宋体" w:hAnsi="宋体" w:eastAsia="宋体" w:cs="宋体"/>
          <w:color w:val="000000"/>
        </w:rPr>
      </w:pPr>
      <w:r>
        <w:rPr>
          <w:rFonts w:hint="eastAsia" w:ascii="宋体" w:hAnsi="宋体" w:eastAsia="宋体" w:cs="宋体"/>
          <w:color w:val="000000"/>
        </w:rPr>
        <w:t>e)</w:t>
      </w:r>
      <w:r>
        <w:rPr>
          <w:rFonts w:hint="eastAsia" w:ascii="宋体" w:hAnsi="宋体" w:eastAsia="宋体" w:cs="宋体"/>
        </w:rPr>
        <w:t xml:space="preserve"> </w:t>
      </w:r>
      <w:r>
        <w:rPr>
          <w:rFonts w:hint="eastAsia" w:ascii="宋体" w:hAnsi="宋体" w:eastAsia="宋体" w:cs="宋体"/>
          <w:color w:val="000000"/>
        </w:rPr>
        <w:t>检查各母线的连接、</w:t>
      </w:r>
      <w:r>
        <w:rPr>
          <w:rFonts w:hint="eastAsia" w:ascii="宋体" w:hAnsi="宋体" w:eastAsia="宋体" w:cs="宋体"/>
          <w:spacing w:val="-3"/>
        </w:rPr>
        <w:t xml:space="preserve">  </w:t>
      </w:r>
      <w:r>
        <w:rPr>
          <w:rFonts w:hint="eastAsia" w:ascii="宋体" w:hAnsi="宋体" w:eastAsia="宋体" w:cs="宋体"/>
          <w:color w:val="000000"/>
        </w:rPr>
        <w:t>绝缘支撑件、安装件、其它附件安装是否牢固可靠。</w:t>
      </w:r>
    </w:p>
    <w:p>
      <w:pPr>
        <w:rPr>
          <w:rFonts w:hint="eastAsia" w:ascii="宋体" w:hAnsi="宋体" w:eastAsia="宋体" w:cs="宋体"/>
        </w:rPr>
      </w:pPr>
    </w:p>
    <w:p>
      <w:pPr>
        <w:rPr>
          <w:rFonts w:hint="eastAsia" w:ascii="宋体" w:hAnsi="宋体" w:eastAsia="宋体" w:cs="宋体"/>
        </w:rPr>
      </w:pPr>
      <w:r>
        <w:rPr>
          <w:rFonts w:hint="eastAsia" w:ascii="宋体" w:hAnsi="宋体" w:eastAsia="宋体" w:cs="宋体"/>
          <w:lang w:eastAsia="zh-CN"/>
        </w:rPr>
        <w:t>（</w:t>
      </w:r>
      <w:r>
        <w:rPr>
          <w:rFonts w:hint="eastAsia" w:ascii="宋体" w:hAnsi="宋体" w:eastAsia="宋体" w:cs="宋体"/>
        </w:rPr>
        <w:t>二</w:t>
      </w:r>
      <w:r>
        <w:rPr>
          <w:rFonts w:hint="eastAsia" w:ascii="宋体" w:hAnsi="宋体" w:eastAsia="宋体" w:cs="宋体"/>
          <w:lang w:eastAsia="zh-CN"/>
        </w:rPr>
        <w:t>）</w:t>
      </w:r>
      <w:r>
        <w:rPr>
          <w:rFonts w:hint="eastAsia" w:ascii="宋体" w:hAnsi="宋体" w:eastAsia="宋体" w:cs="宋体"/>
        </w:rPr>
        <w:t>、UPS 系统</w:t>
      </w:r>
    </w:p>
    <w:p>
      <w:pPr>
        <w:spacing w:line="360" w:lineRule="auto"/>
        <w:rPr>
          <w:rFonts w:hint="eastAsia" w:ascii="宋体" w:hAnsi="宋体" w:eastAsia="宋体" w:cs="宋体"/>
        </w:rPr>
      </w:pPr>
      <w:r>
        <w:rPr>
          <w:rFonts w:hint="eastAsia" w:ascii="宋体" w:hAnsi="宋体" w:eastAsia="宋体" w:cs="宋体"/>
        </w:rPr>
        <w:t>2.2.2  季度维护 ( 主要进行放电测试  )</w:t>
      </w:r>
    </w:p>
    <w:p>
      <w:pPr>
        <w:spacing w:line="360" w:lineRule="auto"/>
        <w:rPr>
          <w:rFonts w:hint="eastAsia" w:ascii="宋体" w:hAnsi="宋体" w:eastAsia="宋体" w:cs="宋体"/>
        </w:rPr>
      </w:pPr>
      <w:r>
        <w:rPr>
          <w:rFonts w:hint="eastAsia" w:ascii="宋体" w:hAnsi="宋体" w:eastAsia="宋体" w:cs="宋体"/>
        </w:rPr>
        <w:t>a) 除进行月维护的项目外，还应对 UPS 的电池进行放电。</w:t>
      </w:r>
    </w:p>
    <w:p>
      <w:pPr>
        <w:spacing w:line="360" w:lineRule="auto"/>
        <w:rPr>
          <w:rFonts w:hint="eastAsia" w:ascii="宋体" w:hAnsi="宋体" w:eastAsia="宋体" w:cs="宋体"/>
        </w:rPr>
      </w:pPr>
      <w:r>
        <w:rPr>
          <w:rFonts w:hint="eastAsia" w:ascii="宋体" w:hAnsi="宋体" w:eastAsia="宋体" w:cs="宋体"/>
        </w:rPr>
        <w:t>b) 电池组应放电至额定容量的 60~70%，并记录放电后再次充满时的后备时间。</w:t>
      </w:r>
    </w:p>
    <w:p>
      <w:pPr>
        <w:spacing w:line="360" w:lineRule="auto"/>
        <w:rPr>
          <w:rFonts w:hint="eastAsia" w:ascii="宋体" w:hAnsi="宋体" w:eastAsia="宋体" w:cs="宋体"/>
        </w:rPr>
      </w:pPr>
      <w:r>
        <w:rPr>
          <w:rFonts w:hint="eastAsia" w:ascii="宋体" w:hAnsi="宋体" w:eastAsia="宋体" w:cs="宋体"/>
        </w:rPr>
        <w:t>c) 不可同时对相同负荷的两路 UPS 进行放电，且放电测试间隔应大于 48小时。</w:t>
      </w:r>
    </w:p>
    <w:p>
      <w:pPr>
        <w:spacing w:line="360" w:lineRule="auto"/>
        <w:rPr>
          <w:rFonts w:hint="eastAsia" w:ascii="宋体" w:hAnsi="宋体" w:eastAsia="宋体" w:cs="宋体"/>
        </w:rPr>
      </w:pPr>
      <w:r>
        <w:rPr>
          <w:rFonts w:hint="eastAsia" w:ascii="宋体" w:hAnsi="宋体" w:eastAsia="宋体" w:cs="宋体"/>
        </w:rPr>
        <w:t>2.2.3 半年维护</w:t>
      </w:r>
    </w:p>
    <w:p>
      <w:pPr>
        <w:spacing w:line="360" w:lineRule="auto"/>
        <w:rPr>
          <w:rFonts w:hint="eastAsia" w:ascii="宋体" w:hAnsi="宋体" w:eastAsia="宋体" w:cs="宋体"/>
        </w:rPr>
      </w:pPr>
      <w:r>
        <w:rPr>
          <w:rFonts w:hint="eastAsia" w:ascii="宋体" w:hAnsi="宋体" w:eastAsia="宋体" w:cs="宋体"/>
        </w:rPr>
        <w:t>a) 除进行季度检查的项目外，还应对 UPS 设备进行整体除尘。</w:t>
      </w:r>
    </w:p>
    <w:p>
      <w:pPr>
        <w:spacing w:line="360" w:lineRule="auto"/>
        <w:rPr>
          <w:rFonts w:hint="eastAsia" w:ascii="宋体" w:hAnsi="宋体" w:eastAsia="宋体" w:cs="宋体"/>
        </w:rPr>
      </w:pPr>
      <w:r>
        <w:rPr>
          <w:rFonts w:hint="eastAsia" w:ascii="宋体" w:hAnsi="宋体" w:eastAsia="宋体" w:cs="宋体"/>
        </w:rPr>
        <w:t>b) 除尘应使用真空式吹风机，不能使用湿抹布。</w:t>
      </w:r>
    </w:p>
    <w:p>
      <w:pPr>
        <w:spacing w:line="360" w:lineRule="auto"/>
        <w:rPr>
          <w:rFonts w:hint="eastAsia" w:ascii="宋体" w:hAnsi="宋体" w:eastAsia="宋体" w:cs="宋体"/>
        </w:rPr>
      </w:pPr>
      <w:r>
        <w:rPr>
          <w:rFonts w:hint="eastAsia" w:ascii="宋体" w:hAnsi="宋体" w:eastAsia="宋体" w:cs="宋体"/>
        </w:rPr>
        <w:t>2.2.4 年检维护(主要进行电气部件紧固操作)</w:t>
      </w:r>
    </w:p>
    <w:p>
      <w:pPr>
        <w:spacing w:line="360" w:lineRule="auto"/>
        <w:rPr>
          <w:rFonts w:hint="eastAsia" w:ascii="宋体" w:hAnsi="宋体" w:eastAsia="宋体" w:cs="宋体"/>
        </w:rPr>
      </w:pPr>
      <w:r>
        <w:rPr>
          <w:rFonts w:hint="eastAsia" w:ascii="宋体" w:hAnsi="宋体" w:eastAsia="宋体" w:cs="宋体"/>
        </w:rPr>
        <w:t>a) 除进行 UPS 半年检的项目之外，还应对整体 UPS 设备进行紧固操作。</w:t>
      </w:r>
    </w:p>
    <w:p>
      <w:pPr>
        <w:spacing w:line="360" w:lineRule="auto"/>
        <w:rPr>
          <w:rFonts w:hint="eastAsia" w:ascii="宋体" w:hAnsi="宋体" w:eastAsia="宋体" w:cs="宋体"/>
        </w:rPr>
      </w:pPr>
      <w:r>
        <w:rPr>
          <w:rFonts w:hint="eastAsia" w:ascii="宋体" w:hAnsi="宋体" w:eastAsia="宋体" w:cs="宋体"/>
        </w:rPr>
        <w:t>b) 联系 UPS 厂家对 UPS 的内部参数进行校对，对内部器件进行检查测试。</w:t>
      </w:r>
    </w:p>
    <w:p>
      <w:pPr>
        <w:spacing w:line="360" w:lineRule="auto"/>
        <w:rPr>
          <w:rFonts w:hint="eastAsia" w:ascii="宋体" w:hAnsi="宋体" w:eastAsia="宋体" w:cs="宋体"/>
        </w:rPr>
      </w:pPr>
      <w:r>
        <w:rPr>
          <w:rFonts w:hint="eastAsia" w:ascii="宋体" w:hAnsi="宋体" w:eastAsia="宋体" w:cs="宋体"/>
        </w:rPr>
        <w:t>c) 年检操作必须关机进行，关机后应对 UPS 内部进行放电操作。</w:t>
      </w:r>
    </w:p>
    <w:p>
      <w:pPr>
        <w:spacing w:line="360" w:lineRule="auto"/>
        <w:rPr>
          <w:rFonts w:hint="eastAsia" w:ascii="宋体" w:hAnsi="宋体" w:eastAsia="宋体" w:cs="宋体"/>
        </w:rPr>
      </w:pPr>
      <w:r>
        <w:rPr>
          <w:rFonts w:hint="eastAsia" w:ascii="宋体" w:hAnsi="宋体" w:eastAsia="宋体" w:cs="宋体"/>
        </w:rPr>
        <w:t>d) 由于旁路仍有部分带电，应对带电部分作出明显标记，以警示维护人员</w:t>
      </w:r>
    </w:p>
    <w:p>
      <w:pPr>
        <w:rPr>
          <w:rFonts w:hint="eastAsia" w:ascii="宋体" w:hAnsi="宋体" w:eastAsia="宋体" w:cs="宋体"/>
        </w:rPr>
      </w:pPr>
    </w:p>
    <w:p>
      <w:pPr>
        <w:spacing w:line="360" w:lineRule="auto"/>
        <w:rPr>
          <w:rFonts w:hint="eastAsia" w:ascii="宋体" w:hAnsi="宋体" w:eastAsia="宋体" w:cs="宋体"/>
        </w:rPr>
      </w:pPr>
      <w:r>
        <w:rPr>
          <w:rFonts w:hint="eastAsia" w:ascii="宋体" w:hAnsi="宋体" w:eastAsia="宋体" w:cs="宋体"/>
          <w:lang w:eastAsia="zh-CN"/>
        </w:rPr>
        <w:t>（</w:t>
      </w:r>
      <w:r>
        <w:rPr>
          <w:rFonts w:hint="eastAsia" w:ascii="宋体" w:hAnsi="宋体" w:eastAsia="宋体" w:cs="宋体"/>
        </w:rPr>
        <w:t>三</w:t>
      </w:r>
      <w:r>
        <w:rPr>
          <w:rFonts w:hint="eastAsia" w:ascii="宋体" w:hAnsi="宋体" w:eastAsia="宋体" w:cs="宋体"/>
          <w:lang w:eastAsia="zh-CN"/>
        </w:rPr>
        <w:t>）</w:t>
      </w:r>
      <w:r>
        <w:rPr>
          <w:rFonts w:hint="eastAsia" w:ascii="宋体" w:hAnsi="宋体" w:eastAsia="宋体" w:cs="宋体"/>
        </w:rPr>
        <w:t>、精密空调系统</w:t>
      </w:r>
    </w:p>
    <w:p>
      <w:pPr>
        <w:spacing w:line="360" w:lineRule="auto"/>
        <w:rPr>
          <w:rFonts w:hint="eastAsia" w:ascii="宋体" w:hAnsi="宋体" w:eastAsia="宋体" w:cs="宋体"/>
        </w:rPr>
      </w:pPr>
      <w:r>
        <w:rPr>
          <w:rFonts w:hint="eastAsia" w:ascii="宋体" w:hAnsi="宋体" w:eastAsia="宋体" w:cs="宋体"/>
        </w:rPr>
        <w:t>机房精密空调是针对现代电子设备机房设计的专用空调，它的工作精度和可靠性较高。</w:t>
      </w:r>
    </w:p>
    <w:p>
      <w:pPr>
        <w:spacing w:line="360" w:lineRule="auto"/>
        <w:rPr>
          <w:rFonts w:hint="eastAsia" w:ascii="宋体" w:hAnsi="宋体" w:eastAsia="宋体" w:cs="宋体"/>
        </w:rPr>
      </w:pPr>
      <w:r>
        <w:rPr>
          <w:rFonts w:hint="eastAsia" w:ascii="宋体" w:hAnsi="宋体" w:eastAsia="宋体" w:cs="宋体"/>
        </w:rPr>
        <w:t>3.2.1 季度维护</w:t>
      </w:r>
    </w:p>
    <w:p>
      <w:pPr>
        <w:spacing w:line="360" w:lineRule="auto"/>
        <w:rPr>
          <w:rFonts w:hint="eastAsia" w:ascii="宋体" w:hAnsi="宋体" w:eastAsia="宋体" w:cs="宋体"/>
        </w:rPr>
      </w:pPr>
      <w:r>
        <w:rPr>
          <w:rFonts w:hint="eastAsia" w:ascii="宋体" w:hAnsi="宋体" w:eastAsia="宋体" w:cs="宋体"/>
        </w:rPr>
        <w:t>季度维护必须在停机状态下进行。</w:t>
      </w:r>
    </w:p>
    <w:p>
      <w:pPr>
        <w:spacing w:line="360" w:lineRule="auto"/>
        <w:rPr>
          <w:rFonts w:hint="eastAsia" w:ascii="宋体" w:hAnsi="宋体" w:eastAsia="宋体" w:cs="宋体"/>
        </w:rPr>
      </w:pPr>
      <w:r>
        <w:rPr>
          <w:rFonts w:hint="eastAsia" w:ascii="宋体" w:hAnsi="宋体" w:eastAsia="宋体" w:cs="宋体"/>
        </w:rPr>
        <w:t>a) 进行日常维护的所有维护项目。</w:t>
      </w:r>
    </w:p>
    <w:p>
      <w:pPr>
        <w:spacing w:line="360" w:lineRule="auto"/>
        <w:rPr>
          <w:rFonts w:hint="eastAsia" w:ascii="宋体" w:hAnsi="宋体" w:eastAsia="宋体" w:cs="宋体"/>
        </w:rPr>
      </w:pPr>
      <w:r>
        <w:rPr>
          <w:rFonts w:hint="eastAsia" w:ascii="宋体" w:hAnsi="宋体" w:eastAsia="宋体" w:cs="宋体"/>
        </w:rPr>
        <w:t>b) 清洗加湿器。</w:t>
      </w:r>
    </w:p>
    <w:p>
      <w:pPr>
        <w:spacing w:line="360" w:lineRule="auto"/>
        <w:rPr>
          <w:rFonts w:hint="eastAsia" w:ascii="宋体" w:hAnsi="宋体" w:eastAsia="宋体" w:cs="宋体"/>
        </w:rPr>
      </w:pPr>
      <w:r>
        <w:rPr>
          <w:rFonts w:hint="eastAsia" w:ascii="宋体" w:hAnsi="宋体" w:eastAsia="宋体" w:cs="宋体"/>
        </w:rPr>
        <w:t>c) 擦拭机组外壳。(不要用强腐蚀物或强化学物质，可用干净的纱布沾上中性洗涤剂擦拭)</w:t>
      </w:r>
    </w:p>
    <w:p>
      <w:pPr>
        <w:spacing w:line="360" w:lineRule="auto"/>
        <w:rPr>
          <w:rFonts w:hint="eastAsia" w:ascii="宋体" w:hAnsi="宋体" w:eastAsia="宋体" w:cs="宋体"/>
        </w:rPr>
      </w:pPr>
      <w:r>
        <w:rPr>
          <w:rFonts w:hint="eastAsia" w:ascii="宋体" w:hAnsi="宋体" w:eastAsia="宋体" w:cs="宋体"/>
        </w:rPr>
        <w:t>d) 检查室外风机有无抱死，破损，运转情况是否正常，并清除积灰(夏季每月 1 次，每周检查 ) 。</w:t>
      </w:r>
    </w:p>
    <w:p>
      <w:pPr>
        <w:spacing w:line="360" w:lineRule="auto"/>
        <w:rPr>
          <w:rFonts w:hint="eastAsia" w:ascii="宋体" w:hAnsi="宋体" w:eastAsia="宋体" w:cs="宋体"/>
        </w:rPr>
      </w:pPr>
      <w:r>
        <w:rPr>
          <w:rFonts w:hint="eastAsia" w:ascii="宋体" w:hAnsi="宋体" w:eastAsia="宋体" w:cs="宋体"/>
        </w:rPr>
        <w:t>e) 更换空气过滤网 (空气过滤网不要等到报警后再更换，应根据机房中空气质量状况定期进行更换) 。</w:t>
      </w:r>
    </w:p>
    <w:p>
      <w:pPr>
        <w:spacing w:line="360" w:lineRule="auto"/>
        <w:rPr>
          <w:rFonts w:hint="eastAsia" w:ascii="宋体" w:hAnsi="宋体" w:eastAsia="宋体" w:cs="宋体"/>
        </w:rPr>
      </w:pPr>
      <w:r>
        <w:rPr>
          <w:rFonts w:hint="eastAsia" w:ascii="宋体" w:hAnsi="宋体" w:eastAsia="宋体" w:cs="宋体"/>
        </w:rPr>
        <w:t>f)  对制冷管路上各接口进行检查，观察是否有油迹，螺纹接口如果有油迹可用板手进行紧固。</w:t>
      </w:r>
    </w:p>
    <w:p>
      <w:pPr>
        <w:spacing w:line="360" w:lineRule="auto"/>
        <w:rPr>
          <w:rFonts w:hint="eastAsia" w:ascii="宋体" w:hAnsi="宋体" w:eastAsia="宋体" w:cs="宋体"/>
        </w:rPr>
      </w:pPr>
      <w:r>
        <w:rPr>
          <w:rFonts w:hint="eastAsia" w:ascii="宋体" w:hAnsi="宋体" w:eastAsia="宋体" w:cs="宋体"/>
        </w:rPr>
        <w:t>g) 检查压缩机高低压参数，根据检查情况补充或释放制冷剂。</w:t>
      </w:r>
    </w:p>
    <w:p>
      <w:pPr>
        <w:spacing w:line="360" w:lineRule="auto"/>
        <w:rPr>
          <w:rFonts w:hint="eastAsia" w:ascii="宋体" w:hAnsi="宋体" w:eastAsia="宋体" w:cs="宋体"/>
        </w:rPr>
      </w:pPr>
      <w:r>
        <w:rPr>
          <w:rFonts w:hint="eastAsia" w:ascii="宋体" w:hAnsi="宋体" w:eastAsia="宋体" w:cs="宋体"/>
        </w:rPr>
        <w:t xml:space="preserve">h) 当有备用电源时，在使用前要检查电源相序是否与市电一致。 </w:t>
      </w:r>
    </w:p>
    <w:p>
      <w:pPr>
        <w:spacing w:line="360" w:lineRule="auto"/>
        <w:rPr>
          <w:rFonts w:hint="eastAsia" w:ascii="宋体" w:hAnsi="宋体" w:eastAsia="宋体" w:cs="宋体"/>
        </w:rPr>
      </w:pPr>
      <w:r>
        <w:rPr>
          <w:rFonts w:hint="eastAsia" w:ascii="宋体" w:hAnsi="宋体" w:eastAsia="宋体" w:cs="宋体"/>
        </w:rPr>
        <w:t>i) 由设备厂商专业工程师进行空调全面健康检查，并提交检查报告。</w:t>
      </w:r>
    </w:p>
    <w:p>
      <w:pPr>
        <w:spacing w:line="360" w:lineRule="auto"/>
        <w:rPr>
          <w:rFonts w:hint="eastAsia" w:ascii="宋体" w:hAnsi="宋体" w:eastAsia="宋体" w:cs="宋体"/>
        </w:rPr>
      </w:pPr>
      <w:r>
        <w:rPr>
          <w:rFonts w:hint="eastAsia" w:ascii="宋体" w:hAnsi="宋体" w:eastAsia="宋体" w:cs="宋体"/>
        </w:rPr>
        <w:t>3.2.2 半年维护 ( 春秋季换季维护 ) 。</w:t>
      </w:r>
    </w:p>
    <w:p>
      <w:pPr>
        <w:spacing w:line="360" w:lineRule="auto"/>
        <w:rPr>
          <w:rFonts w:hint="eastAsia" w:ascii="宋体" w:hAnsi="宋体" w:eastAsia="宋体" w:cs="宋体"/>
        </w:rPr>
      </w:pPr>
      <w:r>
        <w:rPr>
          <w:rFonts w:hint="eastAsia" w:ascii="宋体" w:hAnsi="宋体" w:eastAsia="宋体" w:cs="宋体"/>
        </w:rPr>
        <w:t>a) 进行季度维护的所有维护项目。</w:t>
      </w:r>
    </w:p>
    <w:p>
      <w:pPr>
        <w:spacing w:line="360" w:lineRule="auto"/>
        <w:rPr>
          <w:rFonts w:hint="eastAsia" w:ascii="宋体" w:hAnsi="宋体" w:eastAsia="宋体" w:cs="宋体"/>
        </w:rPr>
      </w:pPr>
      <w:r>
        <w:rPr>
          <w:rFonts w:hint="eastAsia" w:ascii="宋体" w:hAnsi="宋体" w:eastAsia="宋体" w:cs="宋体"/>
        </w:rPr>
        <w:t>b) 对所有的电器接线端子进行检查，不应有松动。</w:t>
      </w:r>
    </w:p>
    <w:p>
      <w:pPr>
        <w:spacing w:line="360" w:lineRule="auto"/>
        <w:rPr>
          <w:rFonts w:hint="eastAsia" w:ascii="宋体" w:hAnsi="宋体" w:eastAsia="宋体" w:cs="宋体"/>
        </w:rPr>
      </w:pPr>
      <w:r>
        <w:rPr>
          <w:rFonts w:hint="eastAsia" w:ascii="宋体" w:hAnsi="宋体" w:eastAsia="宋体" w:cs="宋体"/>
        </w:rPr>
        <w:t>c) 检查高压控制器、高压压力开关的动作是否良好。</w:t>
      </w:r>
    </w:p>
    <w:p>
      <w:pPr>
        <w:spacing w:line="360" w:lineRule="auto"/>
        <w:rPr>
          <w:rFonts w:hint="eastAsia" w:ascii="宋体" w:hAnsi="宋体" w:eastAsia="宋体" w:cs="宋体"/>
        </w:rPr>
      </w:pPr>
      <w:r>
        <w:rPr>
          <w:rFonts w:hint="eastAsia" w:ascii="宋体" w:hAnsi="宋体" w:eastAsia="宋体" w:cs="宋体"/>
        </w:rPr>
        <w:t>d) 对空调机运行参数进行换季调整。</w:t>
      </w:r>
    </w:p>
    <w:p>
      <w:pPr>
        <w:spacing w:line="360" w:lineRule="auto"/>
        <w:rPr>
          <w:rFonts w:hint="eastAsia" w:ascii="宋体" w:hAnsi="宋体" w:eastAsia="宋体" w:cs="宋体"/>
        </w:rPr>
      </w:pPr>
      <w:r>
        <w:rPr>
          <w:rFonts w:hint="eastAsia" w:ascii="宋体" w:hAnsi="宋体" w:eastAsia="宋体" w:cs="宋体"/>
          <w:lang w:eastAsia="zh-CN"/>
        </w:rPr>
        <w:t>（</w:t>
      </w:r>
      <w:r>
        <w:rPr>
          <w:rFonts w:hint="eastAsia" w:ascii="宋体" w:hAnsi="宋体" w:eastAsia="宋体" w:cs="宋体"/>
        </w:rPr>
        <w:t>四</w:t>
      </w:r>
      <w:r>
        <w:rPr>
          <w:rFonts w:hint="eastAsia" w:ascii="宋体" w:hAnsi="宋体" w:eastAsia="宋体" w:cs="宋体"/>
          <w:lang w:eastAsia="zh-CN"/>
        </w:rPr>
        <w:t>）</w:t>
      </w:r>
      <w:r>
        <w:rPr>
          <w:rFonts w:hint="eastAsia" w:ascii="宋体" w:hAnsi="宋体" w:eastAsia="宋体" w:cs="宋体"/>
        </w:rPr>
        <w:t>、新风系统</w:t>
      </w:r>
    </w:p>
    <w:p>
      <w:pPr>
        <w:rPr>
          <w:rFonts w:hint="eastAsia" w:ascii="宋体" w:hAnsi="宋体" w:eastAsia="宋体" w:cs="宋体"/>
        </w:rPr>
      </w:pPr>
      <w:r>
        <w:rPr>
          <w:rFonts w:hint="eastAsia" w:ascii="宋体" w:hAnsi="宋体" w:eastAsia="宋体" w:cs="宋体"/>
        </w:rPr>
        <w:t>新风系统在计算机房的主要作用是保证机房内正压，即机房内的大气压力略高于机房外。</w:t>
      </w:r>
    </w:p>
    <w:p>
      <w:pPr>
        <w:rPr>
          <w:rFonts w:hint="eastAsia" w:ascii="宋体" w:hAnsi="宋体" w:eastAsia="宋体" w:cs="宋体"/>
        </w:rPr>
      </w:pPr>
      <w:r>
        <w:rPr>
          <w:rFonts w:hint="eastAsia" w:ascii="宋体" w:hAnsi="宋体" w:eastAsia="宋体" w:cs="宋体"/>
        </w:rPr>
        <w:t>4.2 维护保养</w:t>
      </w:r>
    </w:p>
    <w:p>
      <w:pPr>
        <w:rPr>
          <w:rFonts w:hint="eastAsia" w:ascii="宋体" w:hAnsi="宋体" w:eastAsia="宋体" w:cs="宋体"/>
        </w:rPr>
      </w:pPr>
      <w:r>
        <w:rPr>
          <w:rFonts w:hint="eastAsia" w:ascii="宋体" w:hAnsi="宋体" w:eastAsia="宋体" w:cs="宋体"/>
        </w:rPr>
        <w:t>新风机组的维护保养类同于精密空调保养。</w:t>
      </w:r>
    </w:p>
    <w:p>
      <w:pPr>
        <w:rPr>
          <w:rFonts w:hint="eastAsia" w:ascii="宋体" w:hAnsi="宋体" w:eastAsia="宋体" w:cs="宋体"/>
        </w:rPr>
      </w:pPr>
      <w:r>
        <w:rPr>
          <w:rFonts w:hint="eastAsia" w:ascii="宋体" w:hAnsi="宋体" w:eastAsia="宋体" w:cs="宋体"/>
          <w:lang w:eastAsia="zh-CN"/>
        </w:rPr>
        <w:t>（</w:t>
      </w:r>
      <w:r>
        <w:rPr>
          <w:rFonts w:hint="eastAsia" w:ascii="宋体" w:hAnsi="宋体" w:eastAsia="宋体" w:cs="宋体"/>
        </w:rPr>
        <w:t>五</w:t>
      </w:r>
      <w:r>
        <w:rPr>
          <w:rFonts w:hint="eastAsia" w:ascii="宋体" w:hAnsi="宋体" w:eastAsia="宋体" w:cs="宋体"/>
          <w:lang w:eastAsia="zh-CN"/>
        </w:rPr>
        <w:t>）</w:t>
      </w:r>
      <w:r>
        <w:rPr>
          <w:rFonts w:hint="eastAsia" w:ascii="宋体" w:hAnsi="宋体" w:eastAsia="宋体" w:cs="宋体"/>
        </w:rPr>
        <w:t>、安防系统</w:t>
      </w:r>
    </w:p>
    <w:p>
      <w:pPr>
        <w:rPr>
          <w:rFonts w:hint="eastAsia" w:ascii="宋体" w:hAnsi="宋体" w:eastAsia="宋体" w:cs="宋体"/>
        </w:rPr>
      </w:pPr>
      <w:r>
        <w:rPr>
          <w:rFonts w:hint="eastAsia" w:ascii="宋体" w:hAnsi="宋体" w:eastAsia="宋体" w:cs="宋体"/>
        </w:rPr>
        <w:t>机房安防系统的运维雷同于安防系统</w:t>
      </w:r>
    </w:p>
    <w:p>
      <w:pPr>
        <w:rPr>
          <w:rFonts w:hint="eastAsia" w:ascii="宋体" w:hAnsi="宋体" w:eastAsia="宋体" w:cs="宋体"/>
        </w:rPr>
      </w:pPr>
      <w:r>
        <w:rPr>
          <w:rFonts w:hint="eastAsia" w:ascii="宋体" w:hAnsi="宋体" w:eastAsia="宋体" w:cs="宋体"/>
          <w:lang w:eastAsia="zh-CN"/>
        </w:rPr>
        <w:t>（</w:t>
      </w:r>
      <w:r>
        <w:rPr>
          <w:rFonts w:hint="eastAsia" w:ascii="宋体" w:hAnsi="宋体" w:eastAsia="宋体" w:cs="宋体"/>
        </w:rPr>
        <w:t>六</w:t>
      </w:r>
      <w:r>
        <w:rPr>
          <w:rFonts w:hint="eastAsia" w:ascii="宋体" w:hAnsi="宋体" w:eastAsia="宋体" w:cs="宋体"/>
          <w:lang w:eastAsia="zh-CN"/>
        </w:rPr>
        <w:t>）</w:t>
      </w:r>
      <w:r>
        <w:rPr>
          <w:rFonts w:hint="eastAsia" w:ascii="宋体" w:hAnsi="宋体" w:eastAsia="宋体" w:cs="宋体"/>
        </w:rPr>
        <w:t>、动力环境监控系统</w:t>
      </w:r>
    </w:p>
    <w:p>
      <w:pPr>
        <w:rPr>
          <w:rFonts w:hint="eastAsia" w:ascii="宋体" w:hAnsi="宋体" w:eastAsia="宋体" w:cs="宋体"/>
        </w:rPr>
      </w:pPr>
      <w:r>
        <w:rPr>
          <w:rFonts w:hint="eastAsia" w:ascii="宋体" w:hAnsi="宋体" w:eastAsia="宋体" w:cs="宋体"/>
        </w:rPr>
        <w:t>动力环境监控系统运维雷同于楼宇自控系统七、消防灭火系统</w:t>
      </w:r>
    </w:p>
    <w:p>
      <w:pPr>
        <w:rPr>
          <w:rFonts w:hint="eastAsia" w:ascii="宋体" w:hAnsi="宋体" w:eastAsia="宋体" w:cs="宋体"/>
        </w:rPr>
      </w:pPr>
      <w:r>
        <w:rPr>
          <w:rFonts w:hint="eastAsia" w:ascii="宋体" w:hAnsi="宋体" w:eastAsia="宋体" w:cs="宋体"/>
        </w:rPr>
        <w:t>火灾自动报警系统是由触发器件、火灾报警装置、火灾警报装置以及具有其</w:t>
      </w:r>
    </w:p>
    <w:p>
      <w:pPr>
        <w:rPr>
          <w:rFonts w:hint="eastAsia" w:ascii="宋体" w:hAnsi="宋体" w:eastAsia="宋体" w:cs="宋体"/>
        </w:rPr>
      </w:pPr>
      <w:r>
        <w:rPr>
          <w:rFonts w:hint="eastAsia" w:ascii="宋体" w:hAnsi="宋体" w:eastAsia="宋体" w:cs="宋体"/>
        </w:rPr>
        <w:t>它辅助功能的装置组成的火灾报警系统。一般火灾自动报警系统和自动灭火系统、防排烟系统、</w:t>
      </w:r>
    </w:p>
    <w:p>
      <w:pPr>
        <w:rPr>
          <w:rFonts w:hint="eastAsia" w:ascii="宋体" w:hAnsi="宋体" w:eastAsia="宋体" w:cs="宋体"/>
        </w:rPr>
      </w:pPr>
      <w:r>
        <w:rPr>
          <w:rFonts w:hint="eastAsia" w:ascii="宋体" w:hAnsi="宋体" w:eastAsia="宋体" w:cs="宋体"/>
        </w:rPr>
        <w:t>通风系统、空调系统、防火门等相关设备联动，自动或手动发出指令、启动相应的装置。</w:t>
      </w:r>
    </w:p>
    <w:p>
      <w:pPr>
        <w:rPr>
          <w:rFonts w:hint="eastAsia" w:ascii="宋体" w:hAnsi="宋体" w:eastAsia="宋体" w:cs="宋体"/>
        </w:rPr>
      </w:pPr>
      <w:r>
        <w:rPr>
          <w:rFonts w:hint="eastAsia" w:ascii="宋体" w:hAnsi="宋体" w:eastAsia="宋体" w:cs="宋体"/>
          <w:lang w:eastAsia="zh-CN"/>
        </w:rPr>
        <w:t>（</w:t>
      </w:r>
      <w:r>
        <w:rPr>
          <w:rFonts w:hint="eastAsia" w:ascii="宋体" w:hAnsi="宋体" w:eastAsia="宋体" w:cs="宋体"/>
        </w:rPr>
        <w:t>七</w:t>
      </w:r>
      <w:r>
        <w:rPr>
          <w:rFonts w:hint="eastAsia" w:ascii="宋体" w:hAnsi="宋体" w:eastAsia="宋体" w:cs="宋体"/>
          <w:lang w:eastAsia="zh-CN"/>
        </w:rPr>
        <w:t>）</w:t>
      </w:r>
      <w:r>
        <w:rPr>
          <w:rFonts w:hint="eastAsia" w:ascii="宋体" w:hAnsi="宋体" w:eastAsia="宋体" w:cs="宋体"/>
        </w:rPr>
        <w:t>、  巡视检查内容</w:t>
      </w:r>
    </w:p>
    <w:p>
      <w:pPr>
        <w:rPr>
          <w:rFonts w:hint="eastAsia" w:ascii="宋体" w:hAnsi="宋体" w:eastAsia="宋体" w:cs="宋体"/>
        </w:rPr>
      </w:pPr>
      <w:r>
        <w:rPr>
          <w:rFonts w:hint="eastAsia" w:ascii="宋体" w:hAnsi="宋体" w:eastAsia="宋体" w:cs="宋体"/>
        </w:rPr>
        <w:t xml:space="preserve">  7.1.1 消防灭火系统</w:t>
      </w:r>
    </w:p>
    <w:p>
      <w:pPr>
        <w:rPr>
          <w:rFonts w:hint="eastAsia" w:ascii="宋体" w:hAnsi="宋体" w:eastAsia="宋体" w:cs="宋体"/>
        </w:rPr>
      </w:pPr>
      <w:r>
        <w:rPr>
          <w:rFonts w:hint="eastAsia" w:ascii="宋体" w:hAnsi="宋体" w:eastAsia="宋体" w:cs="宋体"/>
        </w:rPr>
        <w:t>(1) 气体灭火系统需要进行每日巡查，查看是否有火灾报警、设备故障报警、未处理事件等</w:t>
      </w:r>
    </w:p>
    <w:p>
      <w:pPr>
        <w:rPr>
          <w:rFonts w:hint="eastAsia" w:ascii="宋体" w:hAnsi="宋体" w:eastAsia="宋体" w:cs="宋体"/>
        </w:rPr>
      </w:pPr>
      <w:r>
        <w:rPr>
          <w:rFonts w:hint="eastAsia" w:ascii="宋体" w:hAnsi="宋体" w:eastAsia="宋体" w:cs="宋体"/>
        </w:rPr>
        <w:t>非正常情况。</w:t>
      </w:r>
    </w:p>
    <w:p>
      <w:pPr>
        <w:rPr>
          <w:rFonts w:hint="eastAsia" w:ascii="宋体" w:hAnsi="宋体" w:eastAsia="宋体" w:cs="宋体"/>
        </w:rPr>
      </w:pPr>
      <w:r>
        <w:rPr>
          <w:rFonts w:hint="eastAsia" w:ascii="宋体" w:hAnsi="宋体" w:eastAsia="宋体" w:cs="宋体"/>
        </w:rPr>
        <w:t>(2) 消防设施需要进行每日巡查。</w:t>
      </w:r>
    </w:p>
    <w:p>
      <w:pPr>
        <w:rPr>
          <w:rFonts w:hint="eastAsia" w:ascii="宋体" w:hAnsi="宋体" w:eastAsia="宋体" w:cs="宋体"/>
        </w:rPr>
      </w:pPr>
      <w:r>
        <w:rPr>
          <w:rFonts w:hint="eastAsia" w:ascii="宋体" w:hAnsi="宋体" w:eastAsia="宋体" w:cs="宋体"/>
        </w:rPr>
        <w:t>7.1.2 安全疏散设施</w:t>
      </w:r>
    </w:p>
    <w:p>
      <w:pPr>
        <w:rPr>
          <w:rFonts w:hint="eastAsia" w:ascii="宋体" w:hAnsi="宋体" w:eastAsia="宋体" w:cs="宋体"/>
        </w:rPr>
      </w:pPr>
      <w:r>
        <w:rPr>
          <w:rFonts w:hint="eastAsia" w:ascii="宋体" w:hAnsi="宋体" w:eastAsia="宋体" w:cs="宋体"/>
        </w:rPr>
        <w:t>(1) 检查时应保持疏散通道、 安全出口畅通，严禁占用疏散通道，严禁在</w:t>
      </w:r>
    </w:p>
    <w:p>
      <w:pPr>
        <w:rPr>
          <w:rFonts w:hint="eastAsia" w:ascii="宋体" w:hAnsi="宋体" w:eastAsia="宋体" w:cs="宋体"/>
        </w:rPr>
      </w:pPr>
      <w:r>
        <w:rPr>
          <w:rFonts w:hint="eastAsia" w:ascii="宋体" w:hAnsi="宋体" w:eastAsia="宋体" w:cs="宋体"/>
        </w:rPr>
        <w:t>安全出口或疏散通道除摆放杂物。</w:t>
      </w:r>
    </w:p>
    <w:p>
      <w:pPr>
        <w:rPr>
          <w:rFonts w:hint="eastAsia" w:ascii="宋体" w:hAnsi="宋体" w:eastAsia="宋体" w:cs="宋体"/>
        </w:rPr>
      </w:pPr>
      <w:r>
        <w:rPr>
          <w:rFonts w:hint="eastAsia" w:ascii="宋体" w:hAnsi="宋体" w:eastAsia="宋体" w:cs="宋体"/>
        </w:rPr>
        <w:t>(2) 检查消防安全疏散指示标志和应急照明设施。</w:t>
      </w:r>
    </w:p>
    <w:p>
      <w:pPr>
        <w:rPr>
          <w:rFonts w:hint="eastAsia" w:ascii="宋体" w:hAnsi="宋体" w:eastAsia="宋体" w:cs="宋体"/>
        </w:rPr>
      </w:pPr>
      <w:r>
        <w:rPr>
          <w:rFonts w:hint="eastAsia" w:ascii="宋体" w:hAnsi="宋体" w:eastAsia="宋体" w:cs="宋体"/>
        </w:rPr>
        <w:t>(3) 应保持防火门、消防安全疏散指示标志、应急照明、机械排烟送风机等设施处于正常状态。</w:t>
      </w:r>
    </w:p>
    <w:p>
      <w:pPr>
        <w:rPr>
          <w:rFonts w:hint="eastAsia" w:ascii="宋体" w:hAnsi="宋体" w:eastAsia="宋体" w:cs="宋体"/>
        </w:rPr>
      </w:pPr>
      <w:r>
        <w:rPr>
          <w:rFonts w:hint="eastAsia" w:ascii="宋体" w:hAnsi="宋体" w:eastAsia="宋体" w:cs="宋体"/>
        </w:rPr>
        <w:t>(4) 检查推杠锁使用是否正常。</w:t>
      </w:r>
    </w:p>
    <w:p>
      <w:pPr>
        <w:rPr>
          <w:rFonts w:hint="eastAsia" w:ascii="宋体" w:hAnsi="宋体" w:eastAsia="宋体" w:cs="宋体"/>
        </w:rPr>
      </w:pPr>
      <w:r>
        <w:rPr>
          <w:rFonts w:hint="eastAsia" w:ascii="宋体" w:hAnsi="宋体" w:eastAsia="宋体" w:cs="宋体"/>
        </w:rPr>
        <w:t>7.1.3 消防器材</w:t>
      </w:r>
    </w:p>
    <w:p>
      <w:pPr>
        <w:rPr>
          <w:rFonts w:hint="eastAsia" w:ascii="宋体" w:hAnsi="宋体" w:eastAsia="宋体" w:cs="宋体"/>
        </w:rPr>
      </w:pPr>
      <w:r>
        <w:rPr>
          <w:rFonts w:hint="eastAsia" w:ascii="宋体" w:hAnsi="宋体" w:eastAsia="宋体" w:cs="宋体"/>
        </w:rPr>
        <w:t>(1) 烟、温感报警检查，查看是否有报警、设备故障报警、未处理事项等非正常情况。</w:t>
      </w:r>
    </w:p>
    <w:p>
      <w:pPr>
        <w:rPr>
          <w:rFonts w:hint="eastAsia" w:ascii="宋体" w:hAnsi="宋体" w:eastAsia="宋体" w:cs="宋体"/>
        </w:rPr>
      </w:pPr>
      <w:r>
        <w:rPr>
          <w:rFonts w:hint="eastAsia" w:ascii="宋体" w:hAnsi="宋体" w:eastAsia="宋体" w:cs="宋体"/>
        </w:rPr>
        <w:t>(2) 灭火器，消防箱，防火栓，手动报警器，玻璃破碎检查，应保持设施的完整性，查看是</w:t>
      </w:r>
    </w:p>
    <w:p>
      <w:pPr>
        <w:rPr>
          <w:rFonts w:hint="eastAsia" w:ascii="宋体" w:hAnsi="宋体" w:eastAsia="宋体" w:cs="宋体"/>
        </w:rPr>
      </w:pPr>
      <w:r>
        <w:rPr>
          <w:rFonts w:hint="eastAsia" w:ascii="宋体" w:hAnsi="宋体" w:eastAsia="宋体" w:cs="宋体"/>
        </w:rPr>
        <w:t>否处于正常工作状态。</w:t>
      </w:r>
    </w:p>
    <w:p>
      <w:pPr>
        <w:rPr>
          <w:rFonts w:hint="eastAsia" w:ascii="宋体" w:hAnsi="宋体" w:eastAsia="宋体" w:cs="宋体"/>
        </w:rPr>
      </w:pPr>
      <w:r>
        <w:rPr>
          <w:rFonts w:hint="eastAsia" w:ascii="宋体" w:hAnsi="宋体" w:eastAsia="宋体" w:cs="宋体"/>
        </w:rPr>
        <w:t>7.2 保养维护</w:t>
      </w:r>
    </w:p>
    <w:p>
      <w:pPr>
        <w:rPr>
          <w:rFonts w:hint="eastAsia" w:ascii="宋体" w:hAnsi="宋体" w:eastAsia="宋体" w:cs="宋体"/>
        </w:rPr>
      </w:pPr>
      <w:r>
        <w:rPr>
          <w:rFonts w:hint="eastAsia" w:ascii="宋体" w:hAnsi="宋体" w:eastAsia="宋体" w:cs="宋体"/>
        </w:rPr>
        <w:t>7.2.2  季度维护</w:t>
      </w:r>
    </w:p>
    <w:p>
      <w:pPr>
        <w:rPr>
          <w:rFonts w:hint="eastAsia" w:ascii="宋体" w:hAnsi="宋体" w:eastAsia="宋体" w:cs="宋体"/>
        </w:rPr>
      </w:pPr>
      <w:r>
        <w:rPr>
          <w:rFonts w:hint="eastAsia" w:ascii="宋体" w:hAnsi="宋体" w:eastAsia="宋体" w:cs="宋体"/>
        </w:rPr>
        <w:t>a) 每季度应对所有的火灾探测器采用抽测的方式进行测试。</w:t>
      </w:r>
    </w:p>
    <w:p>
      <w:pPr>
        <w:rPr>
          <w:rFonts w:hint="eastAsia" w:ascii="宋体" w:hAnsi="宋体" w:eastAsia="宋体" w:cs="宋体"/>
        </w:rPr>
      </w:pPr>
      <w:r>
        <w:rPr>
          <w:rFonts w:hint="eastAsia" w:ascii="宋体" w:hAnsi="宋体" w:eastAsia="宋体" w:cs="宋体"/>
        </w:rPr>
        <w:t>b) 每季度对报警阀应进行开阀试验，观察阀门开启和密封性，以及报警阀各部件的工作状态</w:t>
      </w:r>
    </w:p>
    <w:p>
      <w:pPr>
        <w:rPr>
          <w:rFonts w:hint="eastAsia" w:ascii="宋体" w:hAnsi="宋体" w:eastAsia="宋体" w:cs="宋体"/>
        </w:rPr>
      </w:pPr>
      <w:r>
        <w:rPr>
          <w:rFonts w:hint="eastAsia" w:ascii="宋体" w:hAnsi="宋体" w:eastAsia="宋体" w:cs="宋体"/>
        </w:rPr>
        <w:t>是否正常。检查系统的压力开关报警功能是否正常。</w:t>
      </w:r>
    </w:p>
    <w:p>
      <w:pPr>
        <w:rPr>
          <w:rFonts w:hint="eastAsia" w:ascii="宋体" w:hAnsi="宋体" w:eastAsia="宋体" w:cs="宋体"/>
        </w:rPr>
      </w:pPr>
      <w:r>
        <w:rPr>
          <w:rFonts w:hint="eastAsia" w:ascii="宋体" w:hAnsi="宋体" w:eastAsia="宋体" w:cs="宋体"/>
        </w:rPr>
        <w:t>c) 每季度对应急照明进行一次功能性测试，切断正常供电电源。</w:t>
      </w:r>
    </w:p>
    <w:p>
      <w:pPr>
        <w:rPr>
          <w:rFonts w:hint="eastAsia" w:ascii="宋体" w:hAnsi="宋体" w:eastAsia="宋体" w:cs="宋体"/>
        </w:rPr>
      </w:pPr>
      <w:r>
        <w:rPr>
          <w:rFonts w:hint="eastAsia" w:ascii="宋体" w:hAnsi="宋体" w:eastAsia="宋体" w:cs="宋体"/>
        </w:rPr>
        <w:t>d) 每季度对疏散指示标志进行一次功能性测试。</w:t>
      </w:r>
    </w:p>
    <w:p>
      <w:pPr>
        <w:rPr>
          <w:rFonts w:hint="eastAsia" w:ascii="宋体" w:hAnsi="宋体" w:eastAsia="宋体" w:cs="宋体"/>
        </w:rPr>
      </w:pPr>
      <w:r>
        <w:rPr>
          <w:rFonts w:hint="eastAsia" w:ascii="宋体" w:hAnsi="宋体" w:eastAsia="宋体" w:cs="宋体"/>
        </w:rPr>
        <w:t xml:space="preserve"> e) 每季度对于疏散通道上设有出入口控制系统的防火门， 自动或远端手动输出控制信号，</w:t>
      </w:r>
    </w:p>
    <w:p>
      <w:pPr>
        <w:rPr>
          <w:rFonts w:hint="eastAsia" w:ascii="宋体" w:hAnsi="宋体" w:eastAsia="宋体" w:cs="宋体"/>
        </w:rPr>
      </w:pPr>
      <w:r>
        <w:rPr>
          <w:rFonts w:hint="eastAsia" w:ascii="宋体" w:hAnsi="宋体" w:eastAsia="宋体" w:cs="宋体"/>
        </w:rPr>
        <w:t>查看出入口控制系统情况及反馈信号。</w:t>
      </w:r>
    </w:p>
    <w:p>
      <w:pPr>
        <w:rPr>
          <w:rFonts w:hint="eastAsia" w:ascii="宋体" w:hAnsi="宋体" w:eastAsia="宋体" w:cs="宋体"/>
        </w:rPr>
      </w:pPr>
      <w:r>
        <w:rPr>
          <w:rFonts w:hint="eastAsia" w:ascii="宋体" w:hAnsi="宋体" w:eastAsia="宋体" w:cs="宋体"/>
        </w:rPr>
        <w:t>7.2.3  半年维护</w:t>
      </w:r>
    </w:p>
    <w:p>
      <w:pPr>
        <w:rPr>
          <w:rFonts w:hint="eastAsia" w:ascii="宋体" w:hAnsi="宋体" w:eastAsia="宋体" w:cs="宋体"/>
        </w:rPr>
      </w:pPr>
      <w:r>
        <w:rPr>
          <w:rFonts w:hint="eastAsia" w:ascii="宋体" w:hAnsi="宋体" w:eastAsia="宋体" w:cs="宋体"/>
        </w:rPr>
        <w:t>1) 正压送风、防排烟系统每半年检测一次。 查看是否有异常情况。</w:t>
      </w:r>
    </w:p>
    <w:p>
      <w:pPr>
        <w:rPr>
          <w:rFonts w:hint="eastAsia" w:ascii="宋体" w:hAnsi="宋体" w:eastAsia="宋体" w:cs="宋体"/>
        </w:rPr>
      </w:pPr>
      <w:r>
        <w:rPr>
          <w:rFonts w:hint="eastAsia" w:ascii="宋体" w:hAnsi="宋体" w:eastAsia="宋体" w:cs="宋体"/>
        </w:rPr>
        <w:t>2) 每半年进行一次消防演习,查看是否有异常情况。</w:t>
      </w:r>
    </w:p>
    <w:p>
      <w:pPr>
        <w:rPr>
          <w:rFonts w:hint="eastAsia" w:ascii="宋体" w:hAnsi="宋体" w:eastAsia="宋体" w:cs="宋体"/>
        </w:rPr>
      </w:pPr>
      <w:r>
        <w:rPr>
          <w:rFonts w:hint="eastAsia" w:ascii="宋体" w:hAnsi="宋体" w:eastAsia="宋体" w:cs="宋体"/>
        </w:rPr>
        <w:t>7.2.4  年维护</w:t>
      </w:r>
    </w:p>
    <w:p>
      <w:pPr>
        <w:rPr>
          <w:rFonts w:hint="eastAsia" w:ascii="宋体" w:hAnsi="宋体" w:eastAsia="宋体" w:cs="宋体"/>
        </w:rPr>
      </w:pPr>
      <w:r>
        <w:rPr>
          <w:rFonts w:hint="eastAsia" w:ascii="宋体" w:hAnsi="宋体" w:eastAsia="宋体" w:cs="宋体"/>
        </w:rPr>
        <w:t>1) 灭火器年检，查看是否有异常情况。</w:t>
      </w:r>
    </w:p>
    <w:p>
      <w:pPr>
        <w:rPr>
          <w:rFonts w:hint="eastAsia" w:ascii="宋体" w:hAnsi="宋体" w:eastAsia="宋体" w:cs="宋体"/>
        </w:rPr>
      </w:pPr>
      <w:r>
        <w:rPr>
          <w:rFonts w:hint="eastAsia" w:ascii="宋体" w:hAnsi="宋体" w:eastAsia="宋体" w:cs="宋体"/>
        </w:rPr>
        <w:t>2) 在一年内通过定期， 分区域性测试将所有火灾探测器测试一遍。并核对火灾探测器的地址是否正确。</w:t>
      </w:r>
    </w:p>
    <w:p>
      <w:pPr>
        <w:rPr>
          <w:rFonts w:hint="eastAsia" w:ascii="宋体" w:hAnsi="宋体" w:eastAsia="宋体" w:cs="宋体"/>
        </w:rPr>
      </w:pPr>
      <w:r>
        <w:rPr>
          <w:rFonts w:hint="eastAsia" w:ascii="宋体" w:hAnsi="宋体" w:eastAsia="宋体" w:cs="宋体"/>
        </w:rPr>
        <w:t>7.2.5 其他维护要求</w:t>
      </w:r>
    </w:p>
    <w:p>
      <w:pPr>
        <w:pStyle w:val="76"/>
        <w:spacing w:line="300" w:lineRule="auto"/>
        <w:rPr>
          <w:rFonts w:hint="eastAsia" w:ascii="宋体" w:hAnsi="宋体" w:eastAsia="宋体" w:cs="宋体"/>
          <w:color w:val="000000"/>
          <w:spacing w:val="15"/>
          <w:sz w:val="21"/>
          <w:szCs w:val="21"/>
          <w:lang w:bidi="ar"/>
        </w:rPr>
      </w:pPr>
      <w:r>
        <w:rPr>
          <w:rFonts w:hint="eastAsia" w:ascii="宋体" w:hAnsi="宋体" w:eastAsia="宋体" w:cs="宋体"/>
          <w:color w:val="000000"/>
          <w:spacing w:val="15"/>
          <w:sz w:val="21"/>
          <w:szCs w:val="21"/>
          <w:lang w:bidi="ar"/>
        </w:rPr>
        <w:t>（1） 维护单位对清单UPS和空调设备提供季度巡检，频次1年4次，巡检内容包括UPS参数检测、功能测试、内部端子检查、设备内部清灰除尘、后备电池放电活化等，空调设备参数巡检、功能测试、室外机清洗维护、室内加湿水盘清洗等，每次季度维护结束提供维护总结报告，提供甲方存档；</w:t>
      </w:r>
    </w:p>
    <w:p>
      <w:pPr>
        <w:pStyle w:val="76"/>
        <w:spacing w:line="300" w:lineRule="auto"/>
        <w:rPr>
          <w:rFonts w:hint="eastAsia" w:ascii="宋体" w:hAnsi="宋体" w:eastAsia="宋体" w:cs="宋体"/>
          <w:color w:val="000000"/>
          <w:spacing w:val="15"/>
          <w:sz w:val="21"/>
          <w:szCs w:val="21"/>
          <w:lang w:bidi="ar"/>
        </w:rPr>
      </w:pPr>
      <w:r>
        <w:rPr>
          <w:rFonts w:hint="eastAsia" w:ascii="宋体" w:hAnsi="宋体" w:eastAsia="宋体" w:cs="宋体"/>
          <w:color w:val="000000"/>
          <w:spacing w:val="15"/>
          <w:sz w:val="21"/>
          <w:szCs w:val="21"/>
          <w:lang w:bidi="ar"/>
        </w:rPr>
        <w:t>（2）维护单位每年至少组织1次精密空调系统和UPS系统原厂工程师现场巡检，维护人员需提供原厂工程师工作证；</w:t>
      </w:r>
    </w:p>
    <w:p>
      <w:pPr>
        <w:pStyle w:val="76"/>
        <w:spacing w:line="300" w:lineRule="auto"/>
        <w:rPr>
          <w:rFonts w:hint="eastAsia" w:ascii="宋体" w:hAnsi="宋体" w:eastAsia="宋体" w:cs="宋体"/>
          <w:color w:val="000000"/>
          <w:spacing w:val="15"/>
          <w:sz w:val="21"/>
          <w:szCs w:val="21"/>
          <w:lang w:bidi="ar"/>
        </w:rPr>
      </w:pPr>
      <w:r>
        <w:rPr>
          <w:rFonts w:hint="eastAsia" w:ascii="宋体" w:hAnsi="宋体" w:eastAsia="宋体" w:cs="宋体"/>
          <w:color w:val="000000"/>
          <w:spacing w:val="15"/>
          <w:sz w:val="21"/>
          <w:szCs w:val="21"/>
          <w:lang w:bidi="ar"/>
        </w:rPr>
        <w:t>（3）提供应急维修响应服务，若维修过程中产生维修备件，则维修硬件费用另计，要求维修更换的备件为原厂备件，维修备件提供原厂证明；</w:t>
      </w:r>
    </w:p>
    <w:p>
      <w:pPr>
        <w:pStyle w:val="76"/>
        <w:spacing w:line="300" w:lineRule="auto"/>
        <w:rPr>
          <w:rFonts w:hint="eastAsia" w:ascii="宋体" w:hAnsi="宋体" w:eastAsia="宋体" w:cs="宋体"/>
          <w:color w:val="000000"/>
          <w:spacing w:val="15"/>
          <w:sz w:val="21"/>
          <w:szCs w:val="21"/>
          <w:lang w:bidi="ar"/>
        </w:rPr>
      </w:pPr>
      <w:r>
        <w:rPr>
          <w:rFonts w:hint="eastAsia" w:ascii="宋体" w:hAnsi="宋体" w:eastAsia="宋体" w:cs="宋体"/>
          <w:color w:val="000000"/>
          <w:spacing w:val="15"/>
          <w:sz w:val="21"/>
          <w:szCs w:val="21"/>
          <w:lang w:bidi="ar"/>
        </w:rPr>
        <w:t>（4）维保期内免费提供风机皮带、空气滤网等耗材，更换频率根据设备运行情况，不限次数，保证设备运行良好；</w:t>
      </w:r>
    </w:p>
    <w:p>
      <w:pPr>
        <w:pStyle w:val="76"/>
        <w:spacing w:line="300" w:lineRule="auto"/>
        <w:rPr>
          <w:rFonts w:hint="eastAsia" w:ascii="宋体" w:hAnsi="宋体" w:eastAsia="宋体" w:cs="宋体"/>
          <w:color w:val="000000"/>
          <w:spacing w:val="15"/>
          <w:sz w:val="21"/>
          <w:szCs w:val="21"/>
          <w:lang w:bidi="ar"/>
        </w:rPr>
      </w:pPr>
      <w:r>
        <w:rPr>
          <w:rFonts w:hint="eastAsia" w:ascii="宋体" w:hAnsi="宋体" w:eastAsia="宋体" w:cs="宋体"/>
          <w:color w:val="000000"/>
          <w:spacing w:val="15"/>
          <w:sz w:val="21"/>
          <w:szCs w:val="21"/>
          <w:lang w:bidi="ar"/>
        </w:rPr>
        <w:t>（5）每年至少1次后备电池的内阻测试，需用专业电池内阻仪器检测电池内部性能，提供内阻测试报告；</w:t>
      </w:r>
    </w:p>
    <w:p>
      <w:pPr>
        <w:pStyle w:val="76"/>
        <w:spacing w:line="300" w:lineRule="auto"/>
        <w:rPr>
          <w:rFonts w:hint="eastAsia" w:ascii="宋体" w:hAnsi="宋体" w:eastAsia="宋体" w:cs="宋体"/>
          <w:color w:val="000000"/>
          <w:spacing w:val="15"/>
          <w:sz w:val="21"/>
          <w:szCs w:val="21"/>
          <w:lang w:bidi="ar"/>
        </w:rPr>
      </w:pPr>
      <w:r>
        <w:rPr>
          <w:rFonts w:hint="eastAsia" w:ascii="宋体" w:hAnsi="宋体" w:eastAsia="宋体" w:cs="宋体"/>
          <w:color w:val="000000"/>
          <w:spacing w:val="15"/>
          <w:sz w:val="21"/>
          <w:szCs w:val="21"/>
          <w:lang w:bidi="ar"/>
        </w:rPr>
        <w:t>（6）每年至少1次电池放电测试，电池活化并检测电池运行状态，需用红外成像仪扫描电池端子，提供红外扫描成像图片；</w:t>
      </w:r>
    </w:p>
    <w:p>
      <w:pPr>
        <w:pStyle w:val="76"/>
        <w:spacing w:line="300" w:lineRule="auto"/>
        <w:rPr>
          <w:rFonts w:hint="eastAsia" w:ascii="宋体" w:hAnsi="宋体" w:eastAsia="宋体" w:cs="宋体"/>
          <w:color w:val="000000"/>
          <w:spacing w:val="15"/>
          <w:sz w:val="21"/>
          <w:szCs w:val="21"/>
          <w:lang w:bidi="ar"/>
        </w:rPr>
      </w:pPr>
      <w:r>
        <w:rPr>
          <w:rFonts w:hint="eastAsia" w:ascii="宋体" w:hAnsi="宋体" w:eastAsia="宋体" w:cs="宋体"/>
          <w:color w:val="000000"/>
          <w:spacing w:val="15"/>
          <w:sz w:val="21"/>
          <w:szCs w:val="21"/>
          <w:lang w:bidi="ar"/>
        </w:rPr>
        <w:t>（7）每年至少2次精密空调室外机清洗，需用专业高压清洗水泵清洗散热翅片；</w:t>
      </w:r>
    </w:p>
    <w:p>
      <w:pPr>
        <w:pStyle w:val="76"/>
        <w:spacing w:line="300" w:lineRule="auto"/>
        <w:rPr>
          <w:rFonts w:hint="eastAsia" w:ascii="宋体" w:hAnsi="宋体" w:eastAsia="宋体" w:cs="宋体"/>
          <w:color w:val="000000"/>
          <w:spacing w:val="15"/>
          <w:sz w:val="21"/>
          <w:szCs w:val="21"/>
          <w:lang w:bidi="ar"/>
        </w:rPr>
      </w:pPr>
      <w:r>
        <w:rPr>
          <w:rFonts w:hint="eastAsia" w:ascii="宋体" w:hAnsi="宋体" w:eastAsia="宋体" w:cs="宋体"/>
          <w:color w:val="000000"/>
          <w:spacing w:val="15"/>
          <w:sz w:val="21"/>
          <w:szCs w:val="21"/>
          <w:lang w:bidi="ar"/>
        </w:rPr>
        <w:t>（8）为保障维护过程安全，维护人员需具备电工证，同时维护人员需配备防电弧服、绝缘手套、防电弧手套等安全防护用品。</w:t>
      </w:r>
    </w:p>
    <w:p>
      <w:pPr>
        <w:pStyle w:val="76"/>
        <w:spacing w:line="300" w:lineRule="auto"/>
        <w:rPr>
          <w:rFonts w:hint="eastAsia" w:ascii="宋体" w:hAnsi="宋体" w:eastAsia="宋体" w:cs="宋体"/>
          <w:color w:val="000000"/>
          <w:spacing w:val="15"/>
          <w:sz w:val="21"/>
          <w:szCs w:val="21"/>
          <w:lang w:bidi="ar"/>
        </w:rPr>
      </w:pPr>
      <w:r>
        <w:rPr>
          <w:rFonts w:hint="eastAsia" w:ascii="宋体" w:hAnsi="宋体" w:eastAsia="宋体" w:cs="宋体"/>
          <w:color w:val="000000"/>
          <w:spacing w:val="15"/>
          <w:sz w:val="21"/>
          <w:szCs w:val="21"/>
          <w:lang w:bidi="ar"/>
        </w:rPr>
        <w:t>（9）为提高UPS供电系统应急维护的可靠性，要求现场储备1台UPS整机备机（要求备机与机房现有配电系统接入规格匹配），容量不低于20KVA，备机可匹配原后备电池组正常运行。</w:t>
      </w:r>
    </w:p>
    <w:p>
      <w:pPr>
        <w:rPr>
          <w:rFonts w:hint="eastAsia" w:ascii="宋体" w:hAnsi="宋体" w:eastAsia="宋体" w:cs="宋体"/>
          <w:b/>
          <w:bCs/>
          <w:sz w:val="28"/>
          <w:szCs w:val="28"/>
        </w:rPr>
      </w:pPr>
    </w:p>
    <w:p>
      <w:pPr>
        <w:rPr>
          <w:rFonts w:hint="eastAsia" w:ascii="宋体" w:hAnsi="宋体" w:eastAsia="宋体" w:cs="宋体"/>
        </w:rPr>
      </w:pPr>
      <w:r>
        <w:rPr>
          <w:rFonts w:hint="eastAsia" w:ascii="宋体" w:hAnsi="宋体" w:eastAsia="宋体" w:cs="宋体"/>
          <w:lang w:val="en-US" w:eastAsia="zh-CN"/>
        </w:rPr>
        <w:t>（八）</w:t>
      </w:r>
      <w:r>
        <w:rPr>
          <w:rFonts w:hint="eastAsia" w:ascii="宋体" w:hAnsi="宋体" w:eastAsia="宋体" w:cs="宋体"/>
        </w:rPr>
        <w:t>、老</w:t>
      </w:r>
      <w:r>
        <w:rPr>
          <w:rFonts w:hint="eastAsia" w:ascii="宋体" w:hAnsi="宋体" w:eastAsia="宋体" w:cs="宋体"/>
          <w:lang w:val="en-US" w:eastAsia="zh-CN"/>
        </w:rPr>
        <w:t>数据中心</w:t>
      </w:r>
      <w:r>
        <w:rPr>
          <w:rFonts w:hint="eastAsia" w:ascii="宋体" w:hAnsi="宋体" w:eastAsia="宋体" w:cs="宋体"/>
        </w:rPr>
        <w:t>机房环境监测</w:t>
      </w:r>
    </w:p>
    <w:p>
      <w:pPr>
        <w:spacing w:line="360" w:lineRule="auto"/>
        <w:ind w:firstLine="210" w:firstLineChars="100"/>
        <w:rPr>
          <w:rFonts w:hint="eastAsia" w:ascii="宋体" w:hAnsi="宋体" w:eastAsia="宋体" w:cs="宋体"/>
        </w:rPr>
      </w:pPr>
      <w:r>
        <w:rPr>
          <w:rFonts w:hint="eastAsia" w:ascii="宋体" w:hAnsi="宋体" w:eastAsia="宋体" w:cs="宋体"/>
        </w:rPr>
        <w:t>负责老机房环境设备的日常管理和维护，承担故障诊断和处理、运行状态监控、系统配置管理等职责</w:t>
      </w:r>
    </w:p>
    <w:p>
      <w:pPr>
        <w:rPr>
          <w:rFonts w:hint="eastAsia" w:ascii="宋体" w:hAnsi="宋体" w:eastAsia="宋体" w:cs="宋体"/>
        </w:rPr>
      </w:pPr>
    </w:p>
    <w:p>
      <w:pPr>
        <w:numPr>
          <w:ilvl w:val="0"/>
          <w:numId w:val="0"/>
        </w:numPr>
        <w:bidi w:val="0"/>
        <w:rPr>
          <w:rFonts w:hint="eastAsia" w:ascii="宋体" w:hAnsi="宋体" w:eastAsia="宋体" w:cs="宋体"/>
          <w:b/>
          <w:bCs/>
          <w:sz w:val="32"/>
          <w:szCs w:val="32"/>
          <w:lang w:val="en-US" w:eastAsia="zh-CN"/>
        </w:rPr>
      </w:pPr>
      <w:r>
        <w:rPr>
          <w:rFonts w:hint="eastAsia" w:ascii="宋体" w:hAnsi="宋体" w:eastAsia="宋体" w:cs="宋体"/>
          <w:sz w:val="32"/>
          <w:szCs w:val="32"/>
          <w:lang w:val="en-US" w:eastAsia="zh-CN"/>
        </w:rPr>
        <w:t>3.4</w:t>
      </w:r>
      <w:r>
        <w:rPr>
          <w:rFonts w:hint="eastAsia" w:ascii="宋体" w:hAnsi="宋体" w:eastAsia="宋体" w:cs="宋体"/>
          <w:b/>
          <w:bCs/>
          <w:sz w:val="32"/>
          <w:szCs w:val="32"/>
          <w:lang w:val="en-US" w:eastAsia="zh-CN"/>
        </w:rPr>
        <w:t>数据中心机房检验检测服务</w:t>
      </w:r>
    </w:p>
    <w:p>
      <w:pPr>
        <w:bidi w:val="0"/>
        <w:spacing w:line="360" w:lineRule="auto"/>
        <w:rPr>
          <w:rFonts w:hint="eastAsia" w:ascii="宋体" w:hAnsi="宋体" w:eastAsia="宋体" w:cs="宋体"/>
          <w:sz w:val="24"/>
          <w:szCs w:val="24"/>
          <w:lang w:val="en-US" w:eastAsia="zh-CN"/>
        </w:rPr>
      </w:pPr>
      <w:r>
        <w:rPr>
          <w:rFonts w:hint="eastAsia" w:ascii="宋体" w:hAnsi="宋体" w:eastAsia="宋体" w:cs="宋体"/>
          <w:b/>
          <w:bCs/>
          <w:sz w:val="24"/>
          <w:szCs w:val="24"/>
          <w:lang w:val="en-US" w:eastAsia="zh-CN"/>
        </w:rPr>
        <w:t>3.4.1</w:t>
      </w:r>
      <w:r>
        <w:rPr>
          <w:rFonts w:hint="eastAsia" w:ascii="宋体" w:hAnsi="宋体" w:eastAsia="宋体" w:cs="宋体"/>
          <w:b/>
          <w:bCs/>
          <w:sz w:val="24"/>
          <w:szCs w:val="24"/>
        </w:rPr>
        <w:t>检验检测内容</w:t>
      </w:r>
      <w:r>
        <w:rPr>
          <w:rFonts w:hint="eastAsia" w:ascii="宋体" w:hAnsi="宋体" w:eastAsia="宋体" w:cs="宋体"/>
          <w:sz w:val="24"/>
          <w:szCs w:val="24"/>
        </w:rPr>
        <w:t>：按照GB50174标准对机房的防磁、防尘、防水、防火、防雷、防静电及温控性能进行检测</w:t>
      </w:r>
      <w:r>
        <w:rPr>
          <w:rFonts w:hint="eastAsia" w:ascii="宋体" w:hAnsi="宋体" w:eastAsia="宋体" w:cs="宋体"/>
          <w:sz w:val="24"/>
          <w:szCs w:val="24"/>
          <w:lang w:val="en-US" w:eastAsia="zh-CN"/>
        </w:rPr>
        <w:t>及</w:t>
      </w:r>
      <w:r>
        <w:rPr>
          <w:rFonts w:hint="eastAsia" w:ascii="宋体" w:hAnsi="宋体" w:eastAsia="宋体" w:cs="宋体"/>
          <w:sz w:val="24"/>
          <w:szCs w:val="24"/>
        </w:rPr>
        <w:t>按照GB/T 2887标准对机房电源接地进行检测</w:t>
      </w:r>
      <w:r>
        <w:rPr>
          <w:rFonts w:hint="eastAsia" w:ascii="宋体" w:hAnsi="宋体" w:eastAsia="宋体" w:cs="宋体"/>
          <w:sz w:val="24"/>
          <w:szCs w:val="24"/>
          <w:lang w:val="en-US" w:eastAsia="zh-CN"/>
        </w:rPr>
        <w:t>(</w:t>
      </w:r>
      <w:r>
        <w:rPr>
          <w:rFonts w:hint="eastAsia" w:ascii="宋体" w:hAnsi="宋体" w:eastAsia="宋体" w:cs="宋体"/>
          <w:sz w:val="24"/>
          <w:szCs w:val="24"/>
        </w:rPr>
        <w:t>静电电阻、电磁辐射、接地、尘埃、温湿度、防水、防火</w:t>
      </w:r>
      <w:r>
        <w:rPr>
          <w:rFonts w:hint="eastAsia" w:ascii="宋体" w:hAnsi="宋体" w:eastAsia="宋体" w:cs="宋体"/>
          <w:sz w:val="24"/>
          <w:szCs w:val="24"/>
          <w:lang w:val="en-US" w:eastAsia="zh-CN"/>
        </w:rPr>
        <w:t>).</w:t>
      </w:r>
    </w:p>
    <w:p>
      <w:pPr>
        <w:bidi w:val="0"/>
        <w:spacing w:line="360" w:lineRule="auto"/>
        <w:rPr>
          <w:rFonts w:hint="eastAsia" w:ascii="宋体" w:hAnsi="宋体" w:eastAsia="宋体" w:cs="宋体"/>
          <w:sz w:val="24"/>
          <w:szCs w:val="24"/>
        </w:rPr>
      </w:pPr>
      <w:r>
        <w:rPr>
          <w:rFonts w:hint="eastAsia" w:ascii="宋体" w:hAnsi="宋体" w:eastAsia="宋体" w:cs="宋体"/>
          <w:b/>
          <w:bCs/>
          <w:sz w:val="24"/>
          <w:szCs w:val="24"/>
          <w:lang w:val="en-US" w:eastAsia="zh-CN"/>
        </w:rPr>
        <w:t>3.4.2</w:t>
      </w:r>
      <w:r>
        <w:rPr>
          <w:rFonts w:hint="eastAsia" w:ascii="宋体" w:hAnsi="宋体" w:eastAsia="宋体" w:cs="宋体"/>
          <w:b/>
          <w:bCs/>
          <w:sz w:val="24"/>
          <w:szCs w:val="24"/>
        </w:rPr>
        <w:t>检验检测依据</w:t>
      </w:r>
      <w:r>
        <w:rPr>
          <w:rFonts w:hint="eastAsia" w:ascii="宋体" w:hAnsi="宋体" w:eastAsia="宋体" w:cs="宋体"/>
          <w:sz w:val="24"/>
          <w:szCs w:val="24"/>
        </w:rPr>
        <w:t>：</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GB 50174-2017《数据中心设计规范》</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GB/T 2887-2011《计算机场地通用规范》</w:t>
      </w:r>
    </w:p>
    <w:p>
      <w:pPr>
        <w:bidi w:val="0"/>
        <w:spacing w:line="360" w:lineRule="auto"/>
        <w:rPr>
          <w:rFonts w:hint="eastAsia" w:ascii="宋体" w:hAnsi="宋体" w:eastAsia="宋体" w:cs="宋体"/>
          <w:sz w:val="24"/>
          <w:szCs w:val="24"/>
        </w:rPr>
      </w:pPr>
      <w:r>
        <w:rPr>
          <w:rFonts w:hint="eastAsia" w:ascii="宋体" w:hAnsi="宋体" w:eastAsia="宋体" w:cs="宋体"/>
          <w:b/>
          <w:bCs/>
          <w:sz w:val="24"/>
          <w:szCs w:val="24"/>
          <w:lang w:val="en-US" w:eastAsia="zh-CN"/>
        </w:rPr>
        <w:t>3.4.3检验检测要求</w:t>
      </w:r>
      <w:r>
        <w:rPr>
          <w:rFonts w:hint="eastAsia" w:ascii="宋体" w:hAnsi="宋体" w:eastAsia="宋体" w:cs="宋体"/>
          <w:sz w:val="24"/>
          <w:szCs w:val="24"/>
          <w:lang w:val="en-US" w:eastAsia="zh-CN"/>
        </w:rPr>
        <w:t>：出具</w:t>
      </w:r>
      <w:r>
        <w:rPr>
          <w:rFonts w:hint="eastAsia" w:ascii="宋体" w:hAnsi="宋体" w:eastAsia="宋体" w:cs="宋体"/>
          <w:sz w:val="24"/>
          <w:szCs w:val="24"/>
        </w:rPr>
        <w:t>专业</w:t>
      </w:r>
      <w:r>
        <w:rPr>
          <w:rFonts w:hint="eastAsia" w:ascii="宋体" w:hAnsi="宋体" w:eastAsia="宋体" w:cs="宋体"/>
          <w:sz w:val="24"/>
          <w:szCs w:val="24"/>
          <w:lang w:val="en-US" w:eastAsia="zh-CN"/>
        </w:rPr>
        <w:t>第三方</w:t>
      </w:r>
      <w:r>
        <w:rPr>
          <w:rFonts w:hint="eastAsia" w:ascii="宋体" w:hAnsi="宋体" w:eastAsia="宋体" w:cs="宋体"/>
          <w:sz w:val="24"/>
          <w:szCs w:val="24"/>
        </w:rPr>
        <w:t>检验检测报告</w:t>
      </w:r>
    </w:p>
    <w:p>
      <w:pPr>
        <w:pStyle w:val="51"/>
        <w:numPr>
          <w:ilvl w:val="0"/>
          <w:numId w:val="0"/>
        </w:numPr>
        <w:spacing w:line="360" w:lineRule="auto"/>
        <w:ind w:left="723" w:leftChars="0" w:hanging="723" w:hangingChars="300"/>
        <w:rPr>
          <w:rFonts w:hint="eastAsia" w:ascii="宋体" w:hAnsi="宋体" w:eastAsia="宋体" w:cs="宋体"/>
          <w:kern w:val="2"/>
          <w:sz w:val="24"/>
          <w:szCs w:val="24"/>
          <w:lang w:val="en-US" w:eastAsia="zh-CN" w:bidi="ar-SA"/>
        </w:rPr>
      </w:pPr>
      <w:r>
        <w:rPr>
          <w:rFonts w:hint="eastAsia" w:ascii="宋体" w:hAnsi="宋体" w:eastAsia="宋体" w:cs="宋体"/>
          <w:b/>
          <w:bCs/>
          <w:kern w:val="2"/>
          <w:sz w:val="24"/>
          <w:szCs w:val="24"/>
          <w:lang w:val="en-US" w:eastAsia="zh-CN" w:bidi="ar-SA"/>
        </w:rPr>
        <w:t>3.4.4检测机构资质</w:t>
      </w:r>
      <w:r>
        <w:rPr>
          <w:rFonts w:hint="eastAsia" w:ascii="宋体" w:hAnsi="宋体" w:eastAsia="宋体" w:cs="宋体"/>
          <w:kern w:val="2"/>
          <w:sz w:val="24"/>
          <w:szCs w:val="24"/>
          <w:lang w:val="en-US" w:eastAsia="zh-CN" w:bidi="ar-SA"/>
        </w:rPr>
        <w:t>：具备CMA和CNAS检测资质；至少应该具备GB/T 2887-2011《计算机场地通用规范》、GB 50174-2017《数据中心设计规范》等检测标准资质能力授权；</w:t>
      </w:r>
    </w:p>
    <w:p>
      <w:pPr>
        <w:bidi w:val="0"/>
        <w:spacing w:line="360" w:lineRule="auto"/>
        <w:rPr>
          <w:rFonts w:hint="eastAsia" w:ascii="宋体" w:hAnsi="宋体" w:eastAsia="宋体" w:cs="宋体"/>
          <w:sz w:val="24"/>
          <w:szCs w:val="24"/>
          <w:lang w:val="en-US" w:eastAsia="zh-CN"/>
        </w:rPr>
      </w:pPr>
    </w:p>
    <w:p>
      <w:pPr>
        <w:rPr>
          <w:rFonts w:hint="eastAsia" w:ascii="宋体" w:hAnsi="宋体" w:eastAsia="宋体" w:cs="宋体"/>
          <w:sz w:val="32"/>
          <w:szCs w:val="32"/>
          <w:lang w:val="en-US" w:eastAsia="zh-CN"/>
        </w:rPr>
      </w:pPr>
    </w:p>
    <w:p>
      <w:pPr>
        <w:pStyle w:val="2"/>
        <w:jc w:val="both"/>
        <w:rPr>
          <w:rFonts w:hint="eastAsia" w:ascii="宋体" w:hAnsi="宋体" w:eastAsia="宋体" w:cs="宋体"/>
          <w:sz w:val="32"/>
          <w:szCs w:val="32"/>
        </w:rPr>
      </w:pPr>
      <w:bookmarkStart w:id="28" w:name="_Toc192247521"/>
      <w:r>
        <w:rPr>
          <w:rFonts w:hint="eastAsia" w:ascii="宋体" w:hAnsi="宋体" w:eastAsia="宋体" w:cs="宋体"/>
          <w:sz w:val="32"/>
          <w:szCs w:val="32"/>
        </w:rPr>
        <w:t>3.</w:t>
      </w:r>
      <w:r>
        <w:rPr>
          <w:rFonts w:hint="eastAsia" w:ascii="宋体" w:hAnsi="宋体" w:eastAsia="宋体" w:cs="宋体"/>
          <w:sz w:val="32"/>
          <w:szCs w:val="32"/>
          <w:lang w:val="en-US" w:eastAsia="zh-CN"/>
        </w:rPr>
        <w:t>5</w:t>
      </w:r>
      <w:r>
        <w:rPr>
          <w:rFonts w:hint="eastAsia" w:ascii="宋体" w:hAnsi="宋体" w:eastAsia="宋体" w:cs="宋体"/>
          <w:sz w:val="32"/>
          <w:szCs w:val="32"/>
        </w:rPr>
        <w:t>、容灾系统运维服务和每季度数据库备份恢复</w:t>
      </w:r>
      <w:bookmarkEnd w:id="28"/>
    </w:p>
    <w:p>
      <w:pPr>
        <w:rPr>
          <w:rFonts w:hint="eastAsia" w:ascii="宋体" w:hAnsi="宋体" w:eastAsia="宋体" w:cs="宋体"/>
        </w:rPr>
      </w:pPr>
    </w:p>
    <w:p>
      <w:pPr>
        <w:spacing w:line="360" w:lineRule="auto"/>
        <w:ind w:left="630" w:hanging="630" w:hangingChars="300"/>
        <w:rPr>
          <w:rFonts w:hint="eastAsia" w:ascii="宋体" w:hAnsi="宋体" w:eastAsia="宋体" w:cs="宋体"/>
        </w:rPr>
      </w:pPr>
      <w:r>
        <w:rPr>
          <w:rFonts w:hint="eastAsia" w:ascii="宋体" w:hAnsi="宋体" w:eastAsia="宋体" w:cs="宋体"/>
          <w:lang w:val="en-US" w:eastAsia="zh-CN"/>
        </w:rPr>
        <w:t>3.5.1</w:t>
      </w:r>
      <w:r>
        <w:rPr>
          <w:rFonts w:hint="eastAsia" w:ascii="宋体" w:hAnsi="宋体" w:eastAsia="宋体" w:cs="宋体"/>
        </w:rPr>
        <w:t>、对医院现有的HIS、EMRS、PACS、CDR等核心业务的灾备系统提供1年质保，包含7*24 不间断电话服务远程服务；提供软件补丁修复服务；容灾切换演练服务。</w:t>
      </w:r>
    </w:p>
    <w:p>
      <w:pPr>
        <w:numPr>
          <w:ilvl w:val="0"/>
          <w:numId w:val="0"/>
        </w:numPr>
        <w:ind w:left="105" w:leftChars="0"/>
        <w:rPr>
          <w:rFonts w:hint="eastAsia" w:ascii="宋体" w:hAnsi="宋体" w:eastAsia="宋体" w:cs="宋体"/>
        </w:rPr>
      </w:pPr>
      <w:r>
        <w:rPr>
          <w:rFonts w:hint="eastAsia" w:ascii="宋体" w:hAnsi="宋体" w:eastAsia="宋体" w:cs="宋体"/>
          <w:lang w:val="en-US" w:eastAsia="zh-CN"/>
        </w:rPr>
        <w:t>3.5.2</w:t>
      </w:r>
      <w:r>
        <w:rPr>
          <w:rFonts w:hint="eastAsia" w:ascii="宋体" w:hAnsi="宋体" w:eastAsia="宋体" w:cs="宋体"/>
        </w:rPr>
        <w:t>对医院现有的备份系统进行一季度一次，总计4次的备份数据有效性恢复验证服务。</w:t>
      </w:r>
    </w:p>
    <w:p>
      <w:pPr>
        <w:numPr>
          <w:ilvl w:val="0"/>
          <w:numId w:val="0"/>
        </w:numPr>
        <w:ind w:left="105" w:leftChars="0"/>
        <w:rPr>
          <w:rFonts w:hint="eastAsia" w:ascii="宋体" w:hAnsi="宋体" w:eastAsia="宋体" w:cs="宋体"/>
        </w:rPr>
      </w:pPr>
      <w:r>
        <w:rPr>
          <w:rFonts w:hint="eastAsia" w:ascii="宋体" w:hAnsi="宋体" w:eastAsia="宋体" w:cs="宋体"/>
          <w:lang w:val="en-US" w:eastAsia="zh-CN"/>
        </w:rPr>
        <w:t>3.5.3</w:t>
      </w:r>
      <w:r>
        <w:rPr>
          <w:rFonts w:hint="eastAsia" w:ascii="宋体" w:hAnsi="宋体" w:eastAsia="宋体" w:cs="宋体"/>
        </w:rPr>
        <w:t>维保设备范围：数据库容灾系统、备份系统。</w:t>
      </w:r>
    </w:p>
    <w:p>
      <w:pPr>
        <w:numPr>
          <w:ilvl w:val="0"/>
          <w:numId w:val="0"/>
        </w:numPr>
        <w:ind w:left="105" w:leftChars="0"/>
        <w:rPr>
          <w:rFonts w:hint="eastAsia" w:ascii="宋体" w:hAnsi="宋体" w:eastAsia="宋体" w:cs="宋体"/>
        </w:rPr>
      </w:pPr>
      <w:r>
        <w:rPr>
          <w:rFonts w:hint="eastAsia" w:ascii="宋体" w:hAnsi="宋体" w:eastAsia="宋体" w:cs="宋体"/>
          <w:lang w:val="en-US" w:eastAsia="zh-CN"/>
        </w:rPr>
        <w:t>3.5.4</w:t>
      </w:r>
      <w:r>
        <w:rPr>
          <w:rFonts w:hint="eastAsia" w:ascii="宋体" w:hAnsi="宋体" w:eastAsia="宋体" w:cs="宋体"/>
        </w:rPr>
        <w:t>维保时间要求：一年</w:t>
      </w:r>
    </w:p>
    <w:p>
      <w:pPr>
        <w:numPr>
          <w:ilvl w:val="0"/>
          <w:numId w:val="0"/>
        </w:numPr>
        <w:ind w:left="105" w:leftChars="0"/>
        <w:rPr>
          <w:rFonts w:hint="eastAsia" w:ascii="宋体" w:hAnsi="宋体" w:eastAsia="宋体" w:cs="宋体"/>
        </w:rPr>
      </w:pPr>
      <w:r>
        <w:rPr>
          <w:rFonts w:hint="eastAsia" w:ascii="宋体" w:hAnsi="宋体" w:eastAsia="宋体" w:cs="宋体"/>
          <w:lang w:val="en-US" w:eastAsia="zh-CN"/>
        </w:rPr>
        <w:t>3.5.5</w:t>
      </w:r>
      <w:r>
        <w:rPr>
          <w:rFonts w:hint="eastAsia" w:ascii="宋体" w:hAnsi="宋体" w:eastAsia="宋体" w:cs="宋体"/>
        </w:rPr>
        <w:t>响应时间要求：7*24小时响应。</w:t>
      </w:r>
    </w:p>
    <w:p>
      <w:pPr>
        <w:numPr>
          <w:ilvl w:val="0"/>
          <w:numId w:val="0"/>
        </w:numPr>
        <w:ind w:left="105" w:leftChars="0"/>
        <w:rPr>
          <w:rFonts w:hint="eastAsia" w:ascii="宋体" w:hAnsi="宋体" w:eastAsia="宋体" w:cs="宋体"/>
        </w:rPr>
      </w:pPr>
      <w:r>
        <w:rPr>
          <w:rFonts w:hint="eastAsia" w:ascii="宋体" w:hAnsi="宋体" w:eastAsia="宋体" w:cs="宋体"/>
          <w:lang w:val="en-US" w:eastAsia="zh-CN"/>
        </w:rPr>
        <w:t xml:space="preserve">3.5.6 </w:t>
      </w:r>
      <w:r>
        <w:rPr>
          <w:rFonts w:hint="eastAsia" w:ascii="宋体" w:hAnsi="宋体" w:eastAsia="宋体" w:cs="宋体"/>
        </w:rPr>
        <w:t>投标方应根据以上要求提供产品维保的详细方案、服务内容以及响应时间。</w:t>
      </w:r>
    </w:p>
    <w:p>
      <w:pPr>
        <w:numPr>
          <w:ilvl w:val="0"/>
          <w:numId w:val="0"/>
        </w:numPr>
        <w:ind w:left="105" w:leftChars="0"/>
        <w:rPr>
          <w:rFonts w:hint="eastAsia" w:ascii="宋体" w:hAnsi="宋体" w:eastAsia="宋体" w:cs="宋体"/>
          <w:lang w:val="en-US" w:eastAsia="zh-CN"/>
        </w:rPr>
      </w:pPr>
    </w:p>
    <w:tbl>
      <w:tblPr>
        <w:tblStyle w:val="29"/>
        <w:tblW w:w="9299" w:type="dxa"/>
        <w:tblInd w:w="82" w:type="dxa"/>
        <w:shd w:val="clear" w:color="auto" w:fill="D0DDEF"/>
        <w:tblLayout w:type="fixed"/>
        <w:tblCellMar>
          <w:top w:w="0" w:type="dxa"/>
          <w:left w:w="0" w:type="dxa"/>
          <w:bottom w:w="0" w:type="dxa"/>
          <w:right w:w="0" w:type="dxa"/>
        </w:tblCellMar>
      </w:tblPr>
      <w:tblGrid>
        <w:gridCol w:w="1034"/>
        <w:gridCol w:w="4499"/>
        <w:gridCol w:w="3766"/>
      </w:tblGrid>
      <w:tr>
        <w:tblPrEx>
          <w:shd w:val="clear" w:color="auto" w:fill="D0DDEF"/>
          <w:tblCellMar>
            <w:top w:w="0" w:type="dxa"/>
            <w:left w:w="0" w:type="dxa"/>
            <w:bottom w:w="0" w:type="dxa"/>
            <w:right w:w="0" w:type="dxa"/>
          </w:tblCellMar>
        </w:tblPrEx>
        <w:trPr>
          <w:cantSplit/>
          <w:trHeight w:val="454" w:hRule="atLeast"/>
        </w:trPr>
        <w:tc>
          <w:tcPr>
            <w:tcW w:w="103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numPr>
                <w:ilvl w:val="0"/>
                <w:numId w:val="0"/>
              </w:numPr>
              <w:ind w:left="105" w:leftChars="0"/>
              <w:rPr>
                <w:rFonts w:hint="eastAsia" w:ascii="宋体" w:hAnsi="宋体" w:eastAsia="宋体" w:cs="宋体"/>
              </w:rPr>
            </w:pPr>
            <w:r>
              <w:rPr>
                <w:rFonts w:hint="eastAsia" w:ascii="宋体" w:hAnsi="宋体" w:eastAsia="宋体" w:cs="宋体"/>
              </w:rPr>
              <w:t>序号</w:t>
            </w:r>
          </w:p>
        </w:tc>
        <w:tc>
          <w:tcPr>
            <w:tcW w:w="4499" w:type="dxa"/>
            <w:tcBorders>
              <w:top w:val="single" w:color="000000" w:sz="4" w:space="0"/>
              <w:left w:val="single" w:color="000000" w:sz="4" w:space="0"/>
              <w:bottom w:val="single" w:color="000000" w:sz="4" w:space="0"/>
              <w:right w:val="single" w:color="000000" w:sz="4" w:space="0"/>
            </w:tcBorders>
            <w:shd w:val="clear" w:color="auto" w:fill="FFFFFF" w:themeFill="background1"/>
          </w:tcPr>
          <w:p>
            <w:pPr>
              <w:numPr>
                <w:ilvl w:val="0"/>
                <w:numId w:val="0"/>
              </w:numPr>
              <w:ind w:left="105" w:leftChars="0"/>
              <w:rPr>
                <w:rFonts w:hint="eastAsia" w:ascii="宋体" w:hAnsi="宋体" w:eastAsia="宋体" w:cs="宋体"/>
              </w:rPr>
            </w:pPr>
            <w:r>
              <w:rPr>
                <w:rFonts w:hint="eastAsia" w:ascii="宋体" w:hAnsi="宋体" w:eastAsia="宋体" w:cs="宋体"/>
              </w:rPr>
              <w:t>技术服务内容</w:t>
            </w:r>
          </w:p>
        </w:tc>
        <w:tc>
          <w:tcPr>
            <w:tcW w:w="3766" w:type="dxa"/>
            <w:tcBorders>
              <w:top w:val="single" w:color="000000" w:sz="4" w:space="0"/>
              <w:left w:val="single" w:color="000000" w:sz="4" w:space="0"/>
              <w:bottom w:val="single" w:color="000000" w:sz="4" w:space="0"/>
              <w:right w:val="single" w:color="000000" w:sz="4" w:space="0"/>
            </w:tcBorders>
            <w:shd w:val="clear" w:color="auto" w:fill="FFFFFF" w:themeFill="background1"/>
          </w:tcPr>
          <w:p>
            <w:pPr>
              <w:numPr>
                <w:ilvl w:val="0"/>
                <w:numId w:val="0"/>
              </w:numPr>
              <w:ind w:left="105" w:leftChars="0"/>
              <w:rPr>
                <w:rFonts w:hint="eastAsia" w:ascii="宋体" w:hAnsi="宋体" w:eastAsia="宋体" w:cs="宋体"/>
              </w:rPr>
            </w:pPr>
            <w:r>
              <w:rPr>
                <w:rFonts w:hint="eastAsia" w:ascii="宋体" w:hAnsi="宋体" w:eastAsia="宋体" w:cs="宋体"/>
              </w:rPr>
              <w:t>服务期限</w:t>
            </w:r>
          </w:p>
        </w:tc>
      </w:tr>
      <w:tr>
        <w:tblPrEx>
          <w:shd w:val="clear" w:color="auto" w:fill="D0DDEF"/>
          <w:tblCellMar>
            <w:top w:w="0" w:type="dxa"/>
            <w:left w:w="0" w:type="dxa"/>
            <w:bottom w:w="0" w:type="dxa"/>
            <w:right w:w="0" w:type="dxa"/>
          </w:tblCellMar>
        </w:tblPrEx>
        <w:trPr>
          <w:cantSplit/>
          <w:trHeight w:val="454" w:hRule="atLeast"/>
        </w:trPr>
        <w:tc>
          <w:tcPr>
            <w:tcW w:w="103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numPr>
                <w:ilvl w:val="0"/>
                <w:numId w:val="0"/>
              </w:numPr>
              <w:ind w:left="105" w:leftChars="0"/>
              <w:rPr>
                <w:rFonts w:hint="eastAsia" w:ascii="宋体" w:hAnsi="宋体" w:eastAsia="宋体" w:cs="宋体"/>
                <w:lang w:eastAsia="zh-CN"/>
              </w:rPr>
            </w:pPr>
            <w:r>
              <w:rPr>
                <w:rFonts w:hint="eastAsia" w:ascii="宋体" w:hAnsi="宋体" w:eastAsia="宋体" w:cs="宋体"/>
                <w:lang w:eastAsia="zh-CN"/>
              </w:rPr>
              <w:t>（</w:t>
            </w:r>
            <w:r>
              <w:rPr>
                <w:rFonts w:hint="eastAsia" w:ascii="宋体" w:hAnsi="宋体" w:eastAsia="宋体" w:cs="宋体"/>
                <w:lang w:val="en-US" w:eastAsia="zh-CN"/>
              </w:rPr>
              <w:t>一</w:t>
            </w:r>
            <w:r>
              <w:rPr>
                <w:rFonts w:hint="eastAsia" w:ascii="宋体" w:hAnsi="宋体" w:eastAsia="宋体" w:cs="宋体"/>
                <w:lang w:eastAsia="zh-CN"/>
              </w:rPr>
              <w:t>）</w:t>
            </w:r>
          </w:p>
        </w:tc>
        <w:tc>
          <w:tcPr>
            <w:tcW w:w="4499" w:type="dxa"/>
            <w:tcBorders>
              <w:top w:val="single" w:color="000000" w:sz="4" w:space="0"/>
              <w:left w:val="single" w:color="000000" w:sz="4" w:space="0"/>
              <w:bottom w:val="single" w:color="000000" w:sz="4" w:space="0"/>
              <w:right w:val="single" w:color="000000" w:sz="4" w:space="0"/>
            </w:tcBorders>
            <w:shd w:val="clear" w:color="auto" w:fill="FFFFFF" w:themeFill="background1"/>
          </w:tcPr>
          <w:p>
            <w:pPr>
              <w:numPr>
                <w:ilvl w:val="0"/>
                <w:numId w:val="0"/>
              </w:numPr>
              <w:ind w:left="105" w:leftChars="0"/>
              <w:rPr>
                <w:rFonts w:hint="eastAsia" w:ascii="宋体" w:hAnsi="宋体" w:eastAsia="宋体" w:cs="宋体"/>
              </w:rPr>
            </w:pPr>
            <w:r>
              <w:rPr>
                <w:rFonts w:hint="eastAsia" w:ascii="宋体" w:hAnsi="宋体" w:eastAsia="宋体" w:cs="宋体"/>
              </w:rPr>
              <w:t>数据库容灾系统技术支持服务</w:t>
            </w:r>
          </w:p>
        </w:tc>
        <w:tc>
          <w:tcPr>
            <w:tcW w:w="3766" w:type="dxa"/>
            <w:tcBorders>
              <w:top w:val="single" w:color="000000" w:sz="4" w:space="0"/>
              <w:left w:val="single" w:color="000000" w:sz="4" w:space="0"/>
              <w:bottom w:val="single" w:color="000000" w:sz="4" w:space="0"/>
              <w:right w:val="single" w:color="000000" w:sz="4" w:space="0"/>
            </w:tcBorders>
            <w:shd w:val="clear" w:color="auto" w:fill="FFFFFF" w:themeFill="background1"/>
          </w:tcPr>
          <w:p>
            <w:pPr>
              <w:numPr>
                <w:ilvl w:val="0"/>
                <w:numId w:val="0"/>
              </w:numPr>
              <w:ind w:left="105" w:leftChars="0"/>
              <w:rPr>
                <w:rFonts w:hint="eastAsia" w:ascii="宋体" w:hAnsi="宋体" w:eastAsia="宋体" w:cs="宋体"/>
              </w:rPr>
            </w:pPr>
            <w:r>
              <w:rPr>
                <w:rFonts w:hint="eastAsia" w:ascii="宋体" w:hAnsi="宋体" w:eastAsia="宋体" w:cs="宋体"/>
              </w:rPr>
              <w:t>一年</w:t>
            </w:r>
          </w:p>
        </w:tc>
      </w:tr>
      <w:tr>
        <w:tblPrEx>
          <w:shd w:val="clear" w:color="auto" w:fill="D0DDEF"/>
          <w:tblCellMar>
            <w:top w:w="0" w:type="dxa"/>
            <w:left w:w="0" w:type="dxa"/>
            <w:bottom w:w="0" w:type="dxa"/>
            <w:right w:w="0" w:type="dxa"/>
          </w:tblCellMar>
        </w:tblPrEx>
        <w:trPr>
          <w:cantSplit/>
          <w:trHeight w:val="454" w:hRule="atLeast"/>
        </w:trPr>
        <w:tc>
          <w:tcPr>
            <w:tcW w:w="103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numPr>
                <w:ilvl w:val="0"/>
                <w:numId w:val="0"/>
              </w:numPr>
              <w:ind w:left="105" w:leftChars="0"/>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1</w:t>
            </w:r>
          </w:p>
        </w:tc>
        <w:tc>
          <w:tcPr>
            <w:tcW w:w="4499" w:type="dxa"/>
            <w:tcBorders>
              <w:top w:val="single" w:color="000000" w:sz="4" w:space="0"/>
              <w:left w:val="single" w:color="000000" w:sz="4" w:space="0"/>
              <w:bottom w:val="single" w:color="000000" w:sz="4" w:space="0"/>
              <w:right w:val="single" w:color="000000" w:sz="4" w:space="0"/>
            </w:tcBorders>
            <w:shd w:val="clear" w:color="auto" w:fill="FFFFFF" w:themeFill="background1"/>
          </w:tcPr>
          <w:p>
            <w:pPr>
              <w:numPr>
                <w:ilvl w:val="0"/>
                <w:numId w:val="0"/>
              </w:numPr>
              <w:ind w:left="105" w:leftChars="0"/>
              <w:rPr>
                <w:rFonts w:hint="eastAsia" w:ascii="宋体" w:hAnsi="宋体" w:eastAsia="宋体" w:cs="宋体"/>
              </w:rPr>
            </w:pPr>
            <w:r>
              <w:rPr>
                <w:rFonts w:hint="eastAsia" w:ascii="宋体" w:hAnsi="宋体" w:eastAsia="宋体" w:cs="宋体"/>
              </w:rPr>
              <w:t>7*24小时远程响应支持服务</w:t>
            </w:r>
          </w:p>
        </w:tc>
        <w:tc>
          <w:tcPr>
            <w:tcW w:w="3766" w:type="dxa"/>
            <w:tcBorders>
              <w:top w:val="single" w:color="000000" w:sz="4" w:space="0"/>
              <w:left w:val="single" w:color="000000" w:sz="4" w:space="0"/>
              <w:bottom w:val="single" w:color="000000" w:sz="4" w:space="0"/>
              <w:right w:val="single" w:color="000000" w:sz="4" w:space="0"/>
            </w:tcBorders>
            <w:shd w:val="clear" w:color="auto" w:fill="FFFFFF" w:themeFill="background1"/>
          </w:tcPr>
          <w:p>
            <w:pPr>
              <w:numPr>
                <w:ilvl w:val="0"/>
                <w:numId w:val="0"/>
              </w:numPr>
              <w:ind w:left="105" w:leftChars="0"/>
              <w:rPr>
                <w:rFonts w:hint="eastAsia" w:ascii="宋体" w:hAnsi="宋体" w:eastAsia="宋体" w:cs="宋体"/>
              </w:rPr>
            </w:pPr>
            <w:r>
              <w:rPr>
                <w:rFonts w:hint="eastAsia" w:ascii="宋体" w:hAnsi="宋体" w:eastAsia="宋体" w:cs="宋体"/>
              </w:rPr>
              <w:t>一年</w:t>
            </w:r>
          </w:p>
        </w:tc>
      </w:tr>
      <w:tr>
        <w:tblPrEx>
          <w:shd w:val="clear" w:color="auto" w:fill="D0DDEF"/>
          <w:tblCellMar>
            <w:top w:w="0" w:type="dxa"/>
            <w:left w:w="0" w:type="dxa"/>
            <w:bottom w:w="0" w:type="dxa"/>
            <w:right w:w="0" w:type="dxa"/>
          </w:tblCellMar>
        </w:tblPrEx>
        <w:trPr>
          <w:cantSplit/>
          <w:trHeight w:val="454" w:hRule="atLeast"/>
        </w:trPr>
        <w:tc>
          <w:tcPr>
            <w:tcW w:w="103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numPr>
                <w:ilvl w:val="0"/>
                <w:numId w:val="0"/>
              </w:numPr>
              <w:ind w:left="105" w:leftChars="0"/>
              <w:rPr>
                <w:rFonts w:hint="eastAsia" w:ascii="宋体" w:hAnsi="宋体" w:eastAsia="宋体" w:cs="宋体"/>
              </w:rPr>
            </w:pPr>
            <w:r>
              <w:rPr>
                <w:rFonts w:hint="eastAsia" w:ascii="宋体" w:hAnsi="宋体" w:eastAsia="宋体" w:cs="宋体"/>
              </w:rPr>
              <w:t>1.2</w:t>
            </w:r>
          </w:p>
        </w:tc>
        <w:tc>
          <w:tcPr>
            <w:tcW w:w="4499" w:type="dxa"/>
            <w:tcBorders>
              <w:top w:val="single" w:color="000000" w:sz="4" w:space="0"/>
              <w:left w:val="single" w:color="000000" w:sz="4" w:space="0"/>
              <w:bottom w:val="single" w:color="000000" w:sz="4" w:space="0"/>
              <w:right w:val="single" w:color="000000" w:sz="4" w:space="0"/>
            </w:tcBorders>
            <w:shd w:val="clear" w:color="auto" w:fill="FFFFFF" w:themeFill="background1"/>
          </w:tcPr>
          <w:p>
            <w:pPr>
              <w:numPr>
                <w:ilvl w:val="0"/>
                <w:numId w:val="0"/>
              </w:numPr>
              <w:ind w:left="105" w:leftChars="0"/>
              <w:rPr>
                <w:rFonts w:hint="eastAsia" w:ascii="宋体" w:hAnsi="宋体" w:eastAsia="宋体" w:cs="宋体"/>
              </w:rPr>
            </w:pPr>
            <w:r>
              <w:rPr>
                <w:rFonts w:hint="eastAsia" w:ascii="宋体" w:hAnsi="宋体" w:eastAsia="宋体" w:cs="宋体"/>
              </w:rPr>
              <w:t>数据库容灾系统切换演练服务</w:t>
            </w:r>
          </w:p>
        </w:tc>
        <w:tc>
          <w:tcPr>
            <w:tcW w:w="3766" w:type="dxa"/>
            <w:tcBorders>
              <w:top w:val="single" w:color="000000" w:sz="4" w:space="0"/>
              <w:left w:val="single" w:color="000000" w:sz="4" w:space="0"/>
              <w:bottom w:val="single" w:color="000000" w:sz="4" w:space="0"/>
              <w:right w:val="single" w:color="000000" w:sz="4" w:space="0"/>
            </w:tcBorders>
            <w:shd w:val="clear" w:color="auto" w:fill="FFFFFF" w:themeFill="background1"/>
          </w:tcPr>
          <w:p>
            <w:pPr>
              <w:numPr>
                <w:ilvl w:val="0"/>
                <w:numId w:val="0"/>
              </w:numPr>
              <w:ind w:left="105" w:leftChars="0"/>
              <w:rPr>
                <w:rFonts w:hint="eastAsia" w:ascii="宋体" w:hAnsi="宋体" w:eastAsia="宋体" w:cs="宋体"/>
              </w:rPr>
            </w:pPr>
            <w:r>
              <w:rPr>
                <w:rFonts w:hint="eastAsia" w:ascii="宋体" w:hAnsi="宋体" w:eastAsia="宋体" w:cs="宋体"/>
              </w:rPr>
              <w:t>一次</w:t>
            </w:r>
          </w:p>
        </w:tc>
      </w:tr>
      <w:tr>
        <w:tblPrEx>
          <w:shd w:val="clear" w:color="auto" w:fill="D0DDEF"/>
          <w:tblCellMar>
            <w:top w:w="0" w:type="dxa"/>
            <w:left w:w="0" w:type="dxa"/>
            <w:bottom w:w="0" w:type="dxa"/>
            <w:right w:w="0" w:type="dxa"/>
          </w:tblCellMar>
        </w:tblPrEx>
        <w:trPr>
          <w:cantSplit/>
          <w:trHeight w:val="454" w:hRule="atLeast"/>
        </w:trPr>
        <w:tc>
          <w:tcPr>
            <w:tcW w:w="103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numPr>
                <w:ilvl w:val="0"/>
                <w:numId w:val="0"/>
              </w:numPr>
              <w:ind w:left="105" w:leftChars="0"/>
              <w:rPr>
                <w:rFonts w:hint="eastAsia" w:ascii="宋体" w:hAnsi="宋体" w:eastAsia="宋体" w:cs="宋体"/>
              </w:rPr>
            </w:pPr>
            <w:r>
              <w:rPr>
                <w:rFonts w:hint="eastAsia" w:ascii="宋体" w:hAnsi="宋体" w:eastAsia="宋体" w:cs="宋体"/>
              </w:rPr>
              <w:t>（二）</w:t>
            </w:r>
          </w:p>
        </w:tc>
        <w:tc>
          <w:tcPr>
            <w:tcW w:w="4499" w:type="dxa"/>
            <w:tcBorders>
              <w:top w:val="single" w:color="000000" w:sz="4" w:space="0"/>
              <w:left w:val="single" w:color="000000" w:sz="4" w:space="0"/>
              <w:bottom w:val="single" w:color="000000" w:sz="4" w:space="0"/>
              <w:right w:val="single" w:color="000000" w:sz="4" w:space="0"/>
            </w:tcBorders>
            <w:shd w:val="clear" w:color="auto" w:fill="FFFFFF" w:themeFill="background1"/>
          </w:tcPr>
          <w:p>
            <w:pPr>
              <w:numPr>
                <w:ilvl w:val="0"/>
                <w:numId w:val="0"/>
              </w:numPr>
              <w:ind w:left="105" w:leftChars="0"/>
              <w:rPr>
                <w:rFonts w:hint="eastAsia" w:ascii="宋体" w:hAnsi="宋体" w:eastAsia="宋体" w:cs="宋体"/>
              </w:rPr>
            </w:pPr>
            <w:r>
              <w:rPr>
                <w:rFonts w:hint="eastAsia" w:ascii="宋体" w:hAnsi="宋体" w:eastAsia="宋体" w:cs="宋体"/>
              </w:rPr>
              <w:t>数据库备份系统技术支持服务</w:t>
            </w:r>
          </w:p>
        </w:tc>
        <w:tc>
          <w:tcPr>
            <w:tcW w:w="3766" w:type="dxa"/>
            <w:tcBorders>
              <w:top w:val="single" w:color="000000" w:sz="4" w:space="0"/>
              <w:left w:val="single" w:color="000000" w:sz="4" w:space="0"/>
              <w:bottom w:val="single" w:color="000000" w:sz="4" w:space="0"/>
              <w:right w:val="single" w:color="000000" w:sz="4" w:space="0"/>
            </w:tcBorders>
            <w:shd w:val="clear" w:color="auto" w:fill="FFFFFF" w:themeFill="background1"/>
          </w:tcPr>
          <w:p>
            <w:pPr>
              <w:numPr>
                <w:ilvl w:val="0"/>
                <w:numId w:val="0"/>
              </w:numPr>
              <w:ind w:left="105" w:leftChars="0"/>
              <w:rPr>
                <w:rFonts w:hint="eastAsia" w:ascii="宋体" w:hAnsi="宋体" w:eastAsia="宋体" w:cs="宋体"/>
              </w:rPr>
            </w:pPr>
            <w:r>
              <w:rPr>
                <w:rFonts w:hint="eastAsia" w:ascii="宋体" w:hAnsi="宋体" w:eastAsia="宋体" w:cs="宋体"/>
              </w:rPr>
              <w:t>一年</w:t>
            </w:r>
          </w:p>
        </w:tc>
      </w:tr>
      <w:tr>
        <w:tblPrEx>
          <w:shd w:val="clear" w:color="auto" w:fill="D0DDEF"/>
          <w:tblCellMar>
            <w:top w:w="0" w:type="dxa"/>
            <w:left w:w="0" w:type="dxa"/>
            <w:bottom w:w="0" w:type="dxa"/>
            <w:right w:w="0" w:type="dxa"/>
          </w:tblCellMar>
        </w:tblPrEx>
        <w:trPr>
          <w:cantSplit/>
          <w:trHeight w:val="454" w:hRule="atLeast"/>
        </w:trPr>
        <w:tc>
          <w:tcPr>
            <w:tcW w:w="103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numPr>
                <w:ilvl w:val="0"/>
                <w:numId w:val="0"/>
              </w:numPr>
              <w:ind w:left="105" w:leftChars="0"/>
              <w:rPr>
                <w:rFonts w:hint="eastAsia" w:ascii="宋体" w:hAnsi="宋体" w:eastAsia="宋体" w:cs="宋体"/>
              </w:rPr>
            </w:pPr>
            <w:r>
              <w:rPr>
                <w:rFonts w:hint="eastAsia" w:ascii="宋体" w:hAnsi="宋体" w:eastAsia="宋体" w:cs="宋体"/>
              </w:rPr>
              <w:t>2.1</w:t>
            </w:r>
          </w:p>
        </w:tc>
        <w:tc>
          <w:tcPr>
            <w:tcW w:w="4499" w:type="dxa"/>
            <w:tcBorders>
              <w:top w:val="single" w:color="000000" w:sz="4" w:space="0"/>
              <w:left w:val="single" w:color="000000" w:sz="4" w:space="0"/>
              <w:bottom w:val="single" w:color="000000" w:sz="4" w:space="0"/>
              <w:right w:val="single" w:color="000000" w:sz="4" w:space="0"/>
            </w:tcBorders>
            <w:shd w:val="clear" w:color="auto" w:fill="FFFFFF" w:themeFill="background1"/>
          </w:tcPr>
          <w:p>
            <w:pPr>
              <w:numPr>
                <w:ilvl w:val="0"/>
                <w:numId w:val="0"/>
              </w:numPr>
              <w:ind w:left="105" w:leftChars="0"/>
              <w:rPr>
                <w:rFonts w:hint="eastAsia" w:ascii="宋体" w:hAnsi="宋体" w:eastAsia="宋体" w:cs="宋体"/>
              </w:rPr>
            </w:pPr>
            <w:r>
              <w:rPr>
                <w:rFonts w:hint="eastAsia" w:ascii="宋体" w:hAnsi="宋体" w:eastAsia="宋体" w:cs="宋体"/>
              </w:rPr>
              <w:t>7*24小时远程响应支持服务</w:t>
            </w:r>
          </w:p>
        </w:tc>
        <w:tc>
          <w:tcPr>
            <w:tcW w:w="3766" w:type="dxa"/>
            <w:tcBorders>
              <w:top w:val="single" w:color="000000" w:sz="4" w:space="0"/>
              <w:left w:val="single" w:color="000000" w:sz="4" w:space="0"/>
              <w:bottom w:val="single" w:color="000000" w:sz="4" w:space="0"/>
              <w:right w:val="single" w:color="000000" w:sz="4" w:space="0"/>
            </w:tcBorders>
            <w:shd w:val="clear" w:color="auto" w:fill="FFFFFF" w:themeFill="background1"/>
          </w:tcPr>
          <w:p>
            <w:pPr>
              <w:numPr>
                <w:ilvl w:val="0"/>
                <w:numId w:val="0"/>
              </w:numPr>
              <w:ind w:left="105" w:leftChars="0"/>
              <w:rPr>
                <w:rFonts w:hint="eastAsia" w:ascii="宋体" w:hAnsi="宋体" w:eastAsia="宋体" w:cs="宋体"/>
              </w:rPr>
            </w:pPr>
            <w:r>
              <w:rPr>
                <w:rFonts w:hint="eastAsia" w:ascii="宋体" w:hAnsi="宋体" w:eastAsia="宋体" w:cs="宋体"/>
              </w:rPr>
              <w:t>一年</w:t>
            </w:r>
          </w:p>
        </w:tc>
      </w:tr>
      <w:tr>
        <w:tblPrEx>
          <w:shd w:val="clear" w:color="auto" w:fill="D0DDEF"/>
          <w:tblCellMar>
            <w:top w:w="0" w:type="dxa"/>
            <w:left w:w="0" w:type="dxa"/>
            <w:bottom w:w="0" w:type="dxa"/>
            <w:right w:w="0" w:type="dxa"/>
          </w:tblCellMar>
        </w:tblPrEx>
        <w:trPr>
          <w:cantSplit/>
          <w:trHeight w:val="454" w:hRule="atLeast"/>
        </w:trPr>
        <w:tc>
          <w:tcPr>
            <w:tcW w:w="103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numPr>
                <w:ilvl w:val="0"/>
                <w:numId w:val="0"/>
              </w:numPr>
              <w:ind w:left="105" w:leftChars="0"/>
              <w:rPr>
                <w:rFonts w:hint="eastAsia" w:ascii="宋体" w:hAnsi="宋体" w:eastAsia="宋体" w:cs="宋体"/>
              </w:rPr>
            </w:pPr>
            <w:r>
              <w:rPr>
                <w:rFonts w:hint="eastAsia" w:ascii="宋体" w:hAnsi="宋体" w:eastAsia="宋体" w:cs="宋体"/>
              </w:rPr>
              <w:t>2.2</w:t>
            </w:r>
          </w:p>
        </w:tc>
        <w:tc>
          <w:tcPr>
            <w:tcW w:w="4499" w:type="dxa"/>
            <w:tcBorders>
              <w:top w:val="single" w:color="000000" w:sz="4" w:space="0"/>
              <w:left w:val="single" w:color="000000" w:sz="4" w:space="0"/>
              <w:bottom w:val="single" w:color="000000" w:sz="4" w:space="0"/>
              <w:right w:val="single" w:color="000000" w:sz="4" w:space="0"/>
            </w:tcBorders>
            <w:shd w:val="clear" w:color="auto" w:fill="FFFFFF" w:themeFill="background1"/>
          </w:tcPr>
          <w:p>
            <w:pPr>
              <w:numPr>
                <w:ilvl w:val="0"/>
                <w:numId w:val="0"/>
              </w:numPr>
              <w:ind w:left="105" w:leftChars="0"/>
              <w:rPr>
                <w:rFonts w:hint="eastAsia" w:ascii="宋体" w:hAnsi="宋体" w:eastAsia="宋体" w:cs="宋体"/>
              </w:rPr>
            </w:pPr>
            <w:r>
              <w:rPr>
                <w:rFonts w:hint="eastAsia" w:ascii="宋体" w:hAnsi="宋体" w:eastAsia="宋体" w:cs="宋体"/>
              </w:rPr>
              <w:t>数据备份恢复服务</w:t>
            </w:r>
          </w:p>
        </w:tc>
        <w:tc>
          <w:tcPr>
            <w:tcW w:w="3766" w:type="dxa"/>
            <w:tcBorders>
              <w:top w:val="single" w:color="000000" w:sz="4" w:space="0"/>
              <w:left w:val="single" w:color="000000" w:sz="4" w:space="0"/>
              <w:bottom w:val="single" w:color="000000" w:sz="4" w:space="0"/>
              <w:right w:val="single" w:color="000000" w:sz="4" w:space="0"/>
            </w:tcBorders>
            <w:shd w:val="clear" w:color="auto" w:fill="FFFFFF" w:themeFill="background1"/>
          </w:tcPr>
          <w:p>
            <w:pPr>
              <w:numPr>
                <w:ilvl w:val="0"/>
                <w:numId w:val="0"/>
              </w:numPr>
              <w:ind w:left="105" w:leftChars="0"/>
              <w:rPr>
                <w:rFonts w:hint="eastAsia" w:ascii="宋体" w:hAnsi="宋体" w:eastAsia="宋体" w:cs="宋体"/>
              </w:rPr>
            </w:pPr>
            <w:r>
              <w:rPr>
                <w:rFonts w:hint="eastAsia" w:ascii="宋体" w:hAnsi="宋体" w:eastAsia="宋体" w:cs="宋体"/>
              </w:rPr>
              <w:t>四次</w:t>
            </w:r>
          </w:p>
        </w:tc>
      </w:tr>
    </w:tbl>
    <w:p>
      <w:pPr>
        <w:numPr>
          <w:ilvl w:val="0"/>
          <w:numId w:val="0"/>
        </w:numPr>
        <w:ind w:left="105" w:leftChars="0"/>
        <w:rPr>
          <w:rFonts w:hint="eastAsia" w:ascii="宋体" w:hAnsi="宋体" w:eastAsia="宋体" w:cs="宋体"/>
        </w:rPr>
      </w:pPr>
    </w:p>
    <w:p>
      <w:pPr>
        <w:pStyle w:val="51"/>
        <w:ind w:left="0" w:leftChars="0" w:firstLine="0" w:firstLineChars="0"/>
        <w:rPr>
          <w:rFonts w:hint="eastAsia" w:ascii="宋体" w:hAnsi="宋体" w:eastAsia="宋体" w:cs="宋体"/>
          <w:b/>
          <w:bCs/>
          <w:color w:val="000000"/>
          <w:kern w:val="0"/>
          <w:sz w:val="32"/>
          <w:szCs w:val="32"/>
          <w:lang w:val="en-US" w:eastAsia="zh-CN"/>
        </w:rPr>
      </w:pPr>
      <w:r>
        <w:rPr>
          <w:rFonts w:hint="eastAsia" w:ascii="宋体" w:hAnsi="宋体" w:eastAsia="宋体" w:cs="宋体"/>
          <w:b/>
          <w:bCs/>
          <w:sz w:val="32"/>
          <w:szCs w:val="32"/>
          <w:lang w:val="en-US" w:eastAsia="zh-CN"/>
        </w:rPr>
        <w:t xml:space="preserve">3.6 </w:t>
      </w:r>
      <w:r>
        <w:rPr>
          <w:rFonts w:hint="eastAsia" w:ascii="宋体" w:hAnsi="宋体" w:eastAsia="宋体" w:cs="宋体"/>
          <w:b/>
          <w:bCs/>
          <w:color w:val="000000"/>
          <w:kern w:val="0"/>
          <w:sz w:val="32"/>
          <w:szCs w:val="32"/>
          <w:lang w:val="en-US" w:eastAsia="zh-CN"/>
        </w:rPr>
        <w:t>提供一套数据中心设备运维监控软件；并提供7*24小时技术支持响应服务</w:t>
      </w:r>
    </w:p>
    <w:tbl>
      <w:tblPr>
        <w:tblStyle w:val="30"/>
        <w:tblW w:w="102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2"/>
        <w:gridCol w:w="1086"/>
        <w:gridCol w:w="85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2"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序号</w:t>
            </w:r>
          </w:p>
        </w:tc>
        <w:tc>
          <w:tcPr>
            <w:tcW w:w="1086"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服务要求</w:t>
            </w:r>
          </w:p>
        </w:tc>
        <w:tc>
          <w:tcPr>
            <w:tcW w:w="8528"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具体细节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2"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1</w:t>
            </w:r>
          </w:p>
        </w:tc>
        <w:tc>
          <w:tcPr>
            <w:tcW w:w="1086"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监控范围及要求</w:t>
            </w:r>
          </w:p>
        </w:tc>
        <w:tc>
          <w:tcPr>
            <w:tcW w:w="8528" w:type="dxa"/>
            <w:vAlign w:val="center"/>
          </w:tcPr>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实时监控包括不限于网络设备、无线设备、数据库、操作系统、中间件、web应用、存储、虚拟化、硬件服务器等组织全部可网管IT资产的运行状态和性能，确保运维团队对IT资产状态和性能实时可观测；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2"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2</w:t>
            </w:r>
          </w:p>
        </w:tc>
        <w:tc>
          <w:tcPr>
            <w:tcW w:w="1086"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监控维度</w:t>
            </w:r>
          </w:p>
        </w:tc>
        <w:tc>
          <w:tcPr>
            <w:tcW w:w="8528" w:type="dxa"/>
            <w:vAlign w:val="center"/>
          </w:tcPr>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CUP、内存、服务、后台运行程序、磁盘大小、网络是否通、数据库死锁、宕机等；</w:t>
            </w:r>
            <w:r>
              <w:rPr>
                <w:rFonts w:hint="eastAsia" w:ascii="宋体" w:hAnsi="宋体" w:eastAsia="宋体" w:cs="宋体"/>
                <w:i w:val="0"/>
                <w:iCs w:val="0"/>
                <w:snapToGrid w:val="0"/>
                <w:color w:val="auto"/>
                <w:kern w:val="0"/>
                <w:sz w:val="22"/>
                <w:szCs w:val="22"/>
                <w:highlight w:val="none"/>
                <w:u w:val="none"/>
                <w:lang w:val="en-US" w:eastAsia="zh-CN" w:bidi="ar"/>
              </w:rPr>
              <w:t>发现报警后系统自动将报警信息推送到信息科室内部工程师及运维公司项目经理手机上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2"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3</w:t>
            </w:r>
          </w:p>
        </w:tc>
        <w:tc>
          <w:tcPr>
            <w:tcW w:w="1086"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厂商要求</w:t>
            </w:r>
          </w:p>
        </w:tc>
        <w:tc>
          <w:tcPr>
            <w:tcW w:w="8528" w:type="dxa"/>
            <w:vAlign w:val="center"/>
          </w:tcPr>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出具原厂商授权函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2"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4</w:t>
            </w:r>
          </w:p>
        </w:tc>
        <w:tc>
          <w:tcPr>
            <w:tcW w:w="1086"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业务监控</w:t>
            </w:r>
          </w:p>
        </w:tc>
        <w:tc>
          <w:tcPr>
            <w:tcW w:w="8528" w:type="dxa"/>
            <w:vAlign w:val="center"/>
          </w:tcPr>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为了实时监测应用的可用性，系统应能提供模拟探测的方式判断应用是否可用。</w:t>
            </w:r>
          </w:p>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1、应能支持多地区部署拨测点，通过模拟用户访问业务系统过程的方式，按一定频度对业务系统7*24H模拟探测。</w:t>
            </w:r>
          </w:p>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2、应能支持多个HTTP、HTTPS的URL以及IP+端口的方式进行探测，同时探测多个地址，且每个地址可返回是否正常。</w:t>
            </w:r>
          </w:p>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需提供环境演示或提供具有CMA或CNAS标志的第三方权威机构出具的检测报告复印件(原件备查)。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2"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5</w:t>
            </w:r>
          </w:p>
        </w:tc>
        <w:tc>
          <w:tcPr>
            <w:tcW w:w="1086"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个人工作台</w:t>
            </w:r>
          </w:p>
        </w:tc>
        <w:tc>
          <w:tcPr>
            <w:tcW w:w="8528" w:type="dxa"/>
            <w:vAlign w:val="center"/>
          </w:tcPr>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为了让运维人员方便快捷的使用运维系统，系统需支持以下需求：</w:t>
            </w:r>
          </w:p>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系统出厂需要内置运维工程师、运维管理员的工作台页面，让这两个角色的用户进入系统后就自动拥有工作台页面，无需每个用户手动添加。其中内置的运维工程师页面中需要能够看到：自己管辖范围内的资源的告警和风险、待处理的告警、待处理的风险等。内置的运维管理能够看到全局的资源数量、资源增长数量、告警总数、按资源类型展示近15日的告警和资源数量和趋势。</w:t>
            </w:r>
          </w:p>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需提供具有CMA或CNAS标志的第三方权威机构出具的检测报告复印件(原件备查)或提供系统截图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2"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6</w:t>
            </w:r>
          </w:p>
        </w:tc>
        <w:tc>
          <w:tcPr>
            <w:tcW w:w="1086"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响应时间</w:t>
            </w:r>
          </w:p>
        </w:tc>
        <w:tc>
          <w:tcPr>
            <w:tcW w:w="8528" w:type="dxa"/>
            <w:vAlign w:val="center"/>
          </w:tcPr>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服务商应提供专属运维管家和管家群，需针对我方关键设备、关键区域进行7*24小时不间断保障值守，当出现故障或重大风险时进行初步确认，并第一时间通报我方干系人，早发现早修复。</w:t>
            </w:r>
          </w:p>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需对我方IT资产7*24小时持续值守，持续发现问题和风险，问题识别准确率不低于95%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2"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7</w:t>
            </w:r>
          </w:p>
        </w:tc>
        <w:tc>
          <w:tcPr>
            <w:tcW w:w="1086"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告警中心</w:t>
            </w:r>
          </w:p>
        </w:tc>
        <w:tc>
          <w:tcPr>
            <w:tcW w:w="8528" w:type="dxa"/>
            <w:vAlign w:val="center"/>
          </w:tcPr>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为了帮助运维人员分析告警的原因，系统应能支持提供原因、影响和相关性的分析数据，包含以下能力：</w:t>
            </w:r>
          </w:p>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1、应能基于故障资源的CMDB关系，自动分析引起当前故障的关联告警作为可能的原因，也可基于经验值，自定义可能原因的分析说明。</w:t>
            </w:r>
          </w:p>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2、应能基于故障资源的CMDB关系，自动分析当前故障影响的其他资源范围，也可基于经验值，自定义影响范围的说明信息。</w:t>
            </w:r>
          </w:p>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3、应能支持自动显示故障资源上下层关系图，默认显示一层，可基于该资源展开到最多5层的关系图，可查看1~5层内与当前故障资源有关联的其他资源是否存在异常。</w:t>
            </w:r>
          </w:p>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4、应能支持根据故障的不同原因，自动显示处理建议，同时支持自定义处理建议的内容；</w:t>
            </w:r>
          </w:p>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需提供系统截图或提供具有CMA或CNAS标志的第三方权威机构出具的检测报告复印件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2"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8</w:t>
            </w:r>
          </w:p>
        </w:tc>
        <w:tc>
          <w:tcPr>
            <w:tcW w:w="1086" w:type="dxa"/>
            <w:vAlign w:val="center"/>
          </w:tcPr>
          <w:p>
            <w:pPr>
              <w:widowControl w:val="0"/>
              <w:bidi w:val="0"/>
              <w:jc w:val="center"/>
              <w:rPr>
                <w:rFonts w:hint="eastAsia" w:ascii="宋体" w:hAnsi="宋体" w:eastAsia="宋体" w:cs="宋体"/>
                <w:lang w:val="en-US" w:eastAsia="zh-CN"/>
              </w:rPr>
            </w:pPr>
            <w:r>
              <w:rPr>
                <w:rFonts w:hint="eastAsia" w:ascii="宋体" w:hAnsi="宋体" w:eastAsia="宋体" w:cs="宋体"/>
                <w:lang w:val="en-US" w:eastAsia="zh-CN"/>
              </w:rPr>
              <w:t>交换机集群整体监测</w:t>
            </w:r>
          </w:p>
        </w:tc>
        <w:tc>
          <w:tcPr>
            <w:tcW w:w="8528" w:type="dxa"/>
            <w:vAlign w:val="center"/>
          </w:tcPr>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交换机/交换机集群是一个网络系统的核心设备，需要对网络设备的潜在风险进行深度挖掘，保证网络稳定运转，进而保障所有的业务系统正常运转</w:t>
            </w:r>
          </w:p>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 xml:space="preserve"> 系统需要能够检测交换机中深层次的风险，除基础的指标检查外，还应包括但不限于：风险服务开启检查（能够识别设备上是否开启了高危的风险端口，可以进行风险提示，并展示出端口列表）、RLDP防环路配置检查（检查交换机中的是否开启了RLDP防环路功能，如果未开启则给出开启的命令）、路由表变动检查（持续监测设备路由表的变化情况，当发生变化时展示具体变化的时间点、变化的内容）等；当出现该类故障时，能够及时的通知到管理员并且给出一定的问题修复建议（包括修复的办法、修复的命令等），辅助管理员进行处理。</w:t>
            </w:r>
          </w:p>
          <w:p>
            <w:pPr>
              <w:widowControl w:val="0"/>
              <w:bidi w:val="0"/>
              <w:jc w:val="left"/>
              <w:rPr>
                <w:rFonts w:hint="eastAsia" w:ascii="宋体" w:hAnsi="宋体" w:eastAsia="宋体" w:cs="宋体"/>
                <w:lang w:val="en-US" w:eastAsia="zh-CN"/>
              </w:rPr>
            </w:pPr>
            <w:r>
              <w:rPr>
                <w:rFonts w:hint="eastAsia" w:ascii="宋体" w:hAnsi="宋体" w:eastAsia="宋体" w:cs="宋体"/>
                <w:lang w:val="en-US" w:eastAsia="zh-CN"/>
              </w:rPr>
              <w:t xml:space="preserve"> 需提供具备以上检查能力的系统截图</w:t>
            </w:r>
          </w:p>
        </w:tc>
      </w:tr>
    </w:tbl>
    <w:p>
      <w:pPr>
        <w:pStyle w:val="51"/>
        <w:spacing w:line="360" w:lineRule="auto"/>
        <w:ind w:left="0" w:leftChars="0" w:firstLine="0" w:firstLineChars="0"/>
        <w:rPr>
          <w:rFonts w:hint="eastAsia" w:ascii="宋体" w:hAnsi="宋体" w:eastAsia="宋体" w:cs="宋体"/>
          <w:i w:val="0"/>
          <w:iCs w:val="0"/>
          <w:snapToGrid w:val="0"/>
          <w:color w:val="auto"/>
          <w:kern w:val="0"/>
          <w:sz w:val="22"/>
          <w:szCs w:val="22"/>
          <w:highlight w:val="none"/>
          <w:u w:val="none"/>
          <w:lang w:val="en-US" w:eastAsia="zh-CN" w:bidi="ar"/>
        </w:rPr>
      </w:pPr>
    </w:p>
    <w:p>
      <w:pPr>
        <w:pStyle w:val="51"/>
        <w:ind w:left="0" w:leftChars="0" w:firstLine="0" w:firstLineChars="0"/>
        <w:rPr>
          <w:rFonts w:hint="eastAsia" w:ascii="宋体" w:hAnsi="宋体" w:eastAsia="宋体" w:cs="宋体"/>
          <w:b/>
          <w:bCs/>
          <w:color w:val="000000"/>
          <w:kern w:val="0"/>
          <w:sz w:val="32"/>
          <w:szCs w:val="32"/>
          <w:lang w:val="en-US" w:eastAsia="zh-CN"/>
        </w:rPr>
      </w:pPr>
      <w:r>
        <w:rPr>
          <w:rFonts w:hint="eastAsia" w:ascii="宋体" w:hAnsi="宋体" w:eastAsia="宋体" w:cs="宋体"/>
          <w:b/>
          <w:bCs/>
          <w:color w:val="000000"/>
          <w:kern w:val="0"/>
          <w:sz w:val="32"/>
          <w:szCs w:val="32"/>
          <w:lang w:val="en-US" w:eastAsia="zh-CN"/>
        </w:rPr>
        <w:t>3.7现场运维工程师1名提供每周5个工作日驻场运维技术支持服务。</w:t>
      </w:r>
    </w:p>
    <w:p>
      <w:pPr>
        <w:pStyle w:val="51"/>
        <w:ind w:left="0" w:leftChars="0" w:firstLine="0" w:firstLineChars="0"/>
        <w:rPr>
          <w:rFonts w:hint="eastAsia" w:ascii="宋体" w:hAnsi="宋体" w:eastAsia="宋体" w:cs="宋体"/>
          <w:b/>
          <w:bCs/>
          <w:color w:val="000000"/>
          <w:kern w:val="0"/>
          <w:sz w:val="32"/>
          <w:szCs w:val="32"/>
          <w:lang w:val="en-US" w:eastAsia="zh-CN"/>
        </w:rPr>
      </w:pPr>
      <w:r>
        <w:rPr>
          <w:rFonts w:hint="eastAsia" w:ascii="宋体" w:hAnsi="宋体" w:eastAsia="宋体" w:cs="宋体"/>
          <w:b/>
          <w:bCs/>
          <w:color w:val="000000"/>
          <w:kern w:val="0"/>
          <w:sz w:val="32"/>
          <w:szCs w:val="32"/>
          <w:lang w:val="en-US" w:eastAsia="zh-CN"/>
        </w:rPr>
        <w:t>3.8出具</w:t>
      </w:r>
      <w:r>
        <w:rPr>
          <w:rFonts w:hint="eastAsia" w:ascii="宋体" w:hAnsi="宋体" w:eastAsia="宋体" w:cs="宋体"/>
          <w:b/>
          <w:bCs/>
          <w:i w:val="0"/>
          <w:iCs w:val="0"/>
          <w:snapToGrid w:val="0"/>
          <w:color w:val="auto"/>
          <w:kern w:val="0"/>
          <w:sz w:val="32"/>
          <w:szCs w:val="32"/>
          <w:highlight w:val="none"/>
          <w:u w:val="none"/>
          <w:lang w:val="en-US" w:eastAsia="zh-CN" w:bidi="ar"/>
        </w:rPr>
        <w:t>出具机房优化解决方案</w:t>
      </w:r>
    </w:p>
    <w:p>
      <w:pPr>
        <w:pStyle w:val="51"/>
        <w:spacing w:line="360" w:lineRule="auto"/>
        <w:ind w:left="0" w:leftChars="0" w:firstLine="0" w:firstLineChars="0"/>
        <w:rPr>
          <w:rFonts w:hint="eastAsia" w:ascii="宋体" w:hAnsi="宋体" w:eastAsia="宋体" w:cs="宋体"/>
          <w:b/>
          <w:bCs/>
          <w:color w:val="000000"/>
          <w:kern w:val="0"/>
          <w:sz w:val="24"/>
          <w:szCs w:val="24"/>
          <w:lang w:val="en-US" w:eastAsia="zh-CN"/>
        </w:rPr>
      </w:pPr>
      <w:r>
        <w:rPr>
          <w:rFonts w:hint="eastAsia" w:ascii="宋体" w:hAnsi="宋体" w:eastAsia="宋体" w:cs="宋体"/>
          <w:i w:val="0"/>
          <w:iCs w:val="0"/>
          <w:snapToGrid w:val="0"/>
          <w:color w:val="auto"/>
          <w:kern w:val="0"/>
          <w:sz w:val="24"/>
          <w:szCs w:val="24"/>
          <w:highlight w:val="none"/>
          <w:u w:val="none"/>
          <w:lang w:val="en-US" w:eastAsia="zh-CN" w:bidi="ar"/>
        </w:rPr>
        <w:t>1、服务频率：一年4次</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2、服务产出：优化解决方案</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3、服务要求：充分了解医院数据中心机房运行状况及业务发展需求，结合院方信息中心提出的需求，提出合理化的机房架构方案，并进行落实调整解决；</w:t>
      </w:r>
    </w:p>
    <w:p>
      <w:pPr>
        <w:pStyle w:val="3"/>
        <w:rPr>
          <w:rStyle w:val="35"/>
          <w:rFonts w:hint="eastAsia" w:ascii="宋体" w:hAnsi="宋体" w:eastAsia="宋体" w:cs="宋体"/>
          <w:b/>
        </w:rPr>
      </w:pPr>
      <w:r>
        <w:rPr>
          <w:rStyle w:val="35"/>
          <w:rFonts w:hint="eastAsia" w:ascii="宋体" w:hAnsi="宋体" w:eastAsia="宋体" w:cs="宋体"/>
          <w:b/>
        </w:rPr>
        <w:t>4、</w:t>
      </w:r>
      <w:r>
        <w:rPr>
          <w:rStyle w:val="35"/>
          <w:rFonts w:hint="eastAsia" w:ascii="宋体" w:hAnsi="宋体" w:eastAsia="宋体" w:cs="宋体"/>
          <w:b/>
          <w:lang w:val="en-US" w:eastAsia="zh-CN"/>
        </w:rPr>
        <w:t>运维</w:t>
      </w:r>
      <w:r>
        <w:rPr>
          <w:rStyle w:val="35"/>
          <w:rFonts w:hint="eastAsia" w:ascii="宋体" w:hAnsi="宋体" w:eastAsia="宋体" w:cs="宋体"/>
          <w:b/>
        </w:rPr>
        <w:t>服务要求</w:t>
      </w:r>
    </w:p>
    <w:p>
      <w:pPr>
        <w:pStyle w:val="4"/>
        <w:rPr>
          <w:rFonts w:hint="eastAsia" w:ascii="宋体" w:hAnsi="宋体" w:eastAsia="宋体" w:cs="宋体"/>
        </w:rPr>
      </w:pPr>
      <w:bookmarkStart w:id="29" w:name="_Toc192247523"/>
      <w:bookmarkStart w:id="30" w:name="_Toc176253225"/>
      <w:r>
        <w:rPr>
          <w:rFonts w:hint="eastAsia" w:ascii="宋体" w:hAnsi="宋体" w:eastAsia="宋体" w:cs="宋体"/>
        </w:rPr>
        <w:t>4.1.</w:t>
      </w:r>
      <w:r>
        <w:rPr>
          <w:rFonts w:hint="eastAsia" w:ascii="宋体" w:hAnsi="宋体" w:eastAsia="宋体" w:cs="宋体"/>
          <w:lang w:eastAsia="zh-CN"/>
        </w:rPr>
        <w:t>服务</w:t>
      </w:r>
      <w:r>
        <w:rPr>
          <w:rFonts w:hint="eastAsia" w:ascii="宋体" w:hAnsi="宋体" w:eastAsia="宋体" w:cs="宋体"/>
          <w:lang w:val="en-US" w:eastAsia="zh-CN"/>
        </w:rPr>
        <w:t>方</w:t>
      </w:r>
      <w:r>
        <w:rPr>
          <w:rFonts w:hint="eastAsia" w:ascii="宋体" w:hAnsi="宋体" w:eastAsia="宋体" w:cs="宋体"/>
        </w:rPr>
        <w:t>式</w:t>
      </w:r>
      <w:bookmarkEnd w:id="29"/>
      <w:bookmarkEnd w:id="30"/>
    </w:p>
    <w:p>
      <w:pPr>
        <w:spacing w:line="360" w:lineRule="auto"/>
        <w:ind w:firstLine="420" w:firstLineChars="200"/>
        <w:rPr>
          <w:rFonts w:hint="eastAsia" w:ascii="宋体" w:hAnsi="宋体" w:eastAsia="宋体" w:cs="宋体"/>
          <w:b/>
          <w:bCs/>
          <w:szCs w:val="21"/>
        </w:rPr>
      </w:pPr>
      <w:r>
        <w:rPr>
          <w:rFonts w:hint="eastAsia" w:ascii="宋体" w:hAnsi="宋体" w:eastAsia="宋体" w:cs="宋体"/>
          <w:color w:val="000000"/>
          <w:szCs w:val="21"/>
        </w:rPr>
        <w:t>为保证医院各系统的稳定可靠的运行，要求提供三种方式的技术支持服务，分别为：现场服务、远程技术支持服务、技术培训服务。</w:t>
      </w:r>
    </w:p>
    <w:p>
      <w:pPr>
        <w:ind w:firstLine="420" w:firstLineChars="200"/>
        <w:rPr>
          <w:rFonts w:hint="eastAsia" w:ascii="宋体" w:hAnsi="宋体" w:eastAsia="宋体" w:cs="宋体"/>
          <w:color w:val="000000"/>
          <w:szCs w:val="21"/>
        </w:rPr>
      </w:pPr>
    </w:p>
    <w:p>
      <w:pPr>
        <w:pStyle w:val="51"/>
        <w:widowControl w:val="0"/>
        <w:numPr>
          <w:ilvl w:val="0"/>
          <w:numId w:val="6"/>
        </w:numPr>
        <w:snapToGrid w:val="0"/>
        <w:spacing w:line="360" w:lineRule="auto"/>
        <w:ind w:firstLineChars="0"/>
        <w:rPr>
          <w:rFonts w:hint="eastAsia" w:ascii="宋体" w:hAnsi="宋体" w:eastAsia="宋体" w:cs="宋体"/>
          <w:b/>
          <w:color w:val="000000"/>
          <w:szCs w:val="21"/>
        </w:rPr>
      </w:pPr>
      <w:r>
        <w:rPr>
          <w:rFonts w:hint="eastAsia" w:ascii="宋体" w:hAnsi="宋体" w:eastAsia="宋体" w:cs="宋体"/>
          <w:b/>
          <w:color w:val="000000"/>
          <w:szCs w:val="21"/>
        </w:rPr>
        <w:t>现场服务</w:t>
      </w:r>
    </w:p>
    <w:p>
      <w:pPr>
        <w:spacing w:line="360" w:lineRule="auto"/>
        <w:ind w:firstLine="420" w:firstLineChars="200"/>
        <w:rPr>
          <w:rFonts w:hint="eastAsia" w:ascii="宋体" w:hAnsi="宋体" w:eastAsia="宋体" w:cs="宋体"/>
          <w:color w:val="000000"/>
          <w:szCs w:val="21"/>
        </w:rPr>
      </w:pPr>
      <w:r>
        <w:rPr>
          <w:rFonts w:hint="eastAsia" w:ascii="宋体" w:hAnsi="宋体" w:eastAsia="宋体" w:cs="宋体"/>
          <w:color w:val="000000"/>
          <w:szCs w:val="21"/>
        </w:rPr>
        <w:t>对医院信息系统进行现场维护和巡检，运维工程师对各个应用系统完成定期巡检，同时输出巡检报告提交给医院，提供7×24小时的故障响应电话支持。</w:t>
      </w:r>
    </w:p>
    <w:p>
      <w:pPr>
        <w:spacing w:line="360" w:lineRule="auto"/>
        <w:ind w:firstLine="420" w:firstLineChars="200"/>
        <w:rPr>
          <w:rFonts w:hint="eastAsia" w:ascii="宋体" w:hAnsi="宋体" w:eastAsia="宋体" w:cs="宋体"/>
          <w:color w:val="000000"/>
          <w:szCs w:val="21"/>
        </w:rPr>
      </w:pPr>
      <w:r>
        <w:rPr>
          <w:rFonts w:hint="eastAsia" w:ascii="宋体" w:hAnsi="宋体" w:eastAsia="宋体" w:cs="宋体"/>
          <w:color w:val="000000"/>
          <w:szCs w:val="21"/>
        </w:rPr>
        <w:t>为方便现场故障处理，服务期内</w:t>
      </w:r>
      <w:r>
        <w:rPr>
          <w:rFonts w:hint="eastAsia" w:ascii="宋体" w:hAnsi="宋体" w:eastAsia="宋体" w:cs="宋体"/>
          <w:color w:val="000000"/>
          <w:szCs w:val="21"/>
          <w:lang w:eastAsia="zh-CN"/>
        </w:rPr>
        <w:t>服务商</w:t>
      </w:r>
      <w:r>
        <w:rPr>
          <w:rFonts w:hint="eastAsia" w:ascii="宋体" w:hAnsi="宋体" w:eastAsia="宋体" w:cs="宋体"/>
          <w:color w:val="000000"/>
          <w:szCs w:val="21"/>
        </w:rPr>
        <w:t>提供服务器、存储硬件资产信息管理服务工具，可通过二维码方式查询资产基础信息，具备密码权限功能</w:t>
      </w:r>
    </w:p>
    <w:p>
      <w:pPr>
        <w:pStyle w:val="51"/>
        <w:widowControl w:val="0"/>
        <w:numPr>
          <w:ilvl w:val="0"/>
          <w:numId w:val="6"/>
        </w:numPr>
        <w:snapToGrid w:val="0"/>
        <w:spacing w:line="360" w:lineRule="auto"/>
        <w:ind w:firstLineChars="0"/>
        <w:rPr>
          <w:rFonts w:hint="eastAsia" w:ascii="宋体" w:hAnsi="宋体" w:eastAsia="宋体" w:cs="宋体"/>
          <w:b/>
          <w:color w:val="000000"/>
          <w:szCs w:val="21"/>
        </w:rPr>
      </w:pPr>
      <w:r>
        <w:rPr>
          <w:rFonts w:hint="eastAsia" w:ascii="宋体" w:hAnsi="宋体" w:eastAsia="宋体" w:cs="宋体"/>
          <w:b/>
          <w:color w:val="000000"/>
          <w:szCs w:val="21"/>
        </w:rPr>
        <w:t>远程技术支持服务</w:t>
      </w:r>
    </w:p>
    <w:p>
      <w:pPr>
        <w:spacing w:line="360" w:lineRule="auto"/>
        <w:ind w:firstLine="420" w:firstLineChars="200"/>
        <w:rPr>
          <w:rFonts w:hint="eastAsia" w:ascii="宋体" w:hAnsi="宋体" w:eastAsia="宋体" w:cs="宋体"/>
          <w:color w:val="000000"/>
          <w:szCs w:val="21"/>
        </w:rPr>
      </w:pPr>
      <w:r>
        <w:rPr>
          <w:rFonts w:hint="eastAsia" w:ascii="宋体" w:hAnsi="宋体" w:eastAsia="宋体" w:cs="宋体"/>
          <w:color w:val="000000"/>
          <w:szCs w:val="21"/>
        </w:rPr>
        <w:t>远程技术服务主要是通过电话或其他方式受理客户和运维工程师的疑难问题，通过沟通来指导医院解决问题，同时远程技术服务工程师还通过电话或者其他方式与医院主动沟通来提高医院管理和运维能力。</w:t>
      </w:r>
    </w:p>
    <w:p>
      <w:pPr>
        <w:pStyle w:val="51"/>
        <w:widowControl w:val="0"/>
        <w:numPr>
          <w:ilvl w:val="0"/>
          <w:numId w:val="6"/>
        </w:numPr>
        <w:snapToGrid w:val="0"/>
        <w:spacing w:line="360" w:lineRule="auto"/>
        <w:ind w:firstLineChars="0"/>
        <w:rPr>
          <w:rFonts w:hint="eastAsia" w:ascii="宋体" w:hAnsi="宋体" w:eastAsia="宋体" w:cs="宋体"/>
          <w:b/>
          <w:color w:val="000000"/>
          <w:szCs w:val="21"/>
        </w:rPr>
      </w:pPr>
      <w:r>
        <w:rPr>
          <w:rFonts w:hint="eastAsia" w:ascii="宋体" w:hAnsi="宋体" w:eastAsia="宋体" w:cs="宋体"/>
          <w:b/>
          <w:color w:val="000000"/>
          <w:szCs w:val="21"/>
        </w:rPr>
        <w:t>技术培训服务</w:t>
      </w:r>
    </w:p>
    <w:p>
      <w:pPr>
        <w:spacing w:line="360" w:lineRule="auto"/>
        <w:ind w:firstLine="420" w:firstLineChars="200"/>
        <w:rPr>
          <w:rFonts w:hint="eastAsia" w:ascii="宋体" w:hAnsi="宋体" w:eastAsia="宋体" w:cs="宋体"/>
          <w:color w:val="000000"/>
          <w:szCs w:val="21"/>
        </w:rPr>
      </w:pPr>
      <w:r>
        <w:rPr>
          <w:rFonts w:hint="eastAsia" w:ascii="宋体" w:hAnsi="宋体" w:eastAsia="宋体" w:cs="宋体"/>
          <w:color w:val="000000"/>
          <w:szCs w:val="21"/>
        </w:rPr>
        <w:t>为提高医院运维人员的技术水平及运维管理能力，提供丰富实施经验的技术专家定期对用户进行相关专业（虚拟化、数据库等）培训。</w:t>
      </w:r>
    </w:p>
    <w:p>
      <w:pPr>
        <w:pStyle w:val="4"/>
        <w:spacing w:line="360" w:lineRule="auto"/>
        <w:rPr>
          <w:rFonts w:hint="eastAsia" w:ascii="宋体" w:hAnsi="宋体" w:eastAsia="宋体" w:cs="宋体"/>
        </w:rPr>
      </w:pPr>
      <w:bookmarkStart w:id="31" w:name="_Toc270496126"/>
      <w:bookmarkStart w:id="32" w:name="_Toc180554335"/>
      <w:bookmarkStart w:id="33" w:name="_Toc176253226"/>
      <w:bookmarkStart w:id="34" w:name="_Toc192247524"/>
      <w:r>
        <w:rPr>
          <w:rFonts w:hint="eastAsia" w:ascii="宋体" w:hAnsi="宋体" w:eastAsia="宋体" w:cs="宋体"/>
        </w:rPr>
        <w:t>4.2.服务</w:t>
      </w:r>
      <w:bookmarkEnd w:id="31"/>
      <w:bookmarkEnd w:id="32"/>
      <w:r>
        <w:rPr>
          <w:rFonts w:hint="eastAsia" w:ascii="宋体" w:hAnsi="宋体" w:eastAsia="宋体" w:cs="宋体"/>
        </w:rPr>
        <w:t>响应</w:t>
      </w:r>
      <w:bookmarkEnd w:id="33"/>
      <w:bookmarkEnd w:id="34"/>
    </w:p>
    <w:p>
      <w:pPr>
        <w:pStyle w:val="54"/>
        <w:numPr>
          <w:ilvl w:val="0"/>
          <w:numId w:val="7"/>
        </w:numPr>
        <w:ind w:left="0" w:firstLine="480"/>
        <w:rPr>
          <w:rFonts w:hint="eastAsia" w:ascii="宋体" w:hAnsi="宋体" w:eastAsia="宋体" w:cs="宋体"/>
        </w:rPr>
      </w:pPr>
      <w:r>
        <w:rPr>
          <w:rFonts w:hint="eastAsia" w:ascii="宋体" w:hAnsi="宋体" w:eastAsia="宋体" w:cs="宋体"/>
        </w:rPr>
        <w:t>接收服务请求和咨询：</w:t>
      </w:r>
    </w:p>
    <w:p>
      <w:pPr>
        <w:ind w:firstLine="420" w:firstLineChars="200"/>
        <w:rPr>
          <w:rFonts w:hint="eastAsia" w:ascii="宋体" w:hAnsi="宋体" w:eastAsia="宋体" w:cs="宋体"/>
          <w:color w:val="000000"/>
          <w:szCs w:val="21"/>
        </w:rPr>
      </w:pPr>
      <w:r>
        <w:rPr>
          <w:rFonts w:hint="eastAsia" w:ascii="宋体" w:hAnsi="宋体" w:eastAsia="宋体" w:cs="宋体"/>
          <w:color w:val="000000"/>
          <w:szCs w:val="21"/>
        </w:rPr>
        <w:t>在5*8 小时工作时间内设置由专人职守的热线电话，接听内部的服务请求，并记录服务台事件处理结果。</w:t>
      </w:r>
    </w:p>
    <w:p>
      <w:pPr>
        <w:pStyle w:val="54"/>
        <w:numPr>
          <w:ilvl w:val="0"/>
          <w:numId w:val="7"/>
        </w:numPr>
        <w:ind w:left="0" w:firstLine="480"/>
        <w:rPr>
          <w:rFonts w:hint="eastAsia" w:ascii="宋体" w:hAnsi="宋体" w:eastAsia="宋体" w:cs="宋体"/>
        </w:rPr>
      </w:pPr>
      <w:r>
        <w:rPr>
          <w:rFonts w:hint="eastAsia" w:ascii="宋体" w:hAnsi="宋体" w:eastAsia="宋体" w:cs="宋体"/>
        </w:rPr>
        <w:t>在非工作时间设置有专人7*24 小时接听的移动电话热线，用于解决内部的技术问题以及接听7*24 小时机房监控人员的机房突发情况汇报。</w:t>
      </w:r>
    </w:p>
    <w:p>
      <w:pPr>
        <w:pStyle w:val="54"/>
        <w:numPr>
          <w:ilvl w:val="0"/>
          <w:numId w:val="7"/>
        </w:numPr>
        <w:ind w:left="0" w:firstLine="480"/>
        <w:rPr>
          <w:rFonts w:hint="eastAsia" w:ascii="宋体" w:hAnsi="宋体" w:eastAsia="宋体" w:cs="宋体"/>
        </w:rPr>
      </w:pPr>
      <w:r>
        <w:rPr>
          <w:rFonts w:hint="eastAsia" w:ascii="宋体" w:hAnsi="宋体" w:eastAsia="宋体" w:cs="宋体"/>
        </w:rPr>
        <w:t>服务响应时间：</w:t>
      </w:r>
    </w:p>
    <w:p>
      <w:pPr>
        <w:spacing w:line="360" w:lineRule="auto"/>
        <w:ind w:firstLine="420" w:firstLineChars="200"/>
        <w:rPr>
          <w:rFonts w:hint="eastAsia" w:ascii="宋体" w:hAnsi="宋体" w:eastAsia="宋体" w:cs="宋体"/>
          <w:color w:val="000000"/>
          <w:szCs w:val="21"/>
        </w:rPr>
      </w:pPr>
      <w:r>
        <w:rPr>
          <w:rFonts w:hint="eastAsia" w:ascii="宋体" w:hAnsi="宋体" w:eastAsia="宋体" w:cs="宋体"/>
          <w:color w:val="000000"/>
          <w:szCs w:val="21"/>
        </w:rPr>
        <w:t>设备发生硬件故障时，30分钟内响应，在3小时内解决故障恢复应用，如果超过3小时，提供备机或者利用医院机房内的已有设备设计合理方案，并负责安装完系统软件、应用系统软件，全程跟踪直至医院应用系统恢复正常运行。</w:t>
      </w:r>
    </w:p>
    <w:p>
      <w:pPr>
        <w:pStyle w:val="4"/>
        <w:rPr>
          <w:rFonts w:hint="eastAsia" w:ascii="宋体" w:hAnsi="宋体" w:eastAsia="宋体" w:cs="宋体"/>
        </w:rPr>
      </w:pPr>
      <w:bookmarkStart w:id="35" w:name="_Toc176253227"/>
      <w:bookmarkStart w:id="36" w:name="_Toc192247525"/>
      <w:r>
        <w:rPr>
          <w:rFonts w:hint="eastAsia" w:ascii="宋体" w:hAnsi="宋体" w:eastAsia="宋体" w:cs="宋体"/>
        </w:rPr>
        <w:t>4.3.服务团队要求</w:t>
      </w:r>
      <w:bookmarkEnd w:id="35"/>
      <w:bookmarkEnd w:id="36"/>
    </w:p>
    <w:p>
      <w:pPr>
        <w:pStyle w:val="4"/>
        <w:keepNext/>
        <w:keepLines/>
        <w:pageBreakBefore w:val="0"/>
        <w:widowControl w:val="0"/>
        <w:tabs>
          <w:tab w:val="left" w:pos="0"/>
          <w:tab w:val="left" w:pos="420"/>
        </w:tabs>
        <w:kinsoku/>
        <w:wordWrap/>
        <w:overflowPunct/>
        <w:topLinePunct w:val="0"/>
        <w:autoSpaceDE/>
        <w:autoSpaceDN/>
        <w:bidi w:val="0"/>
        <w:adjustRightInd/>
        <w:snapToGrid/>
        <w:spacing w:before="0" w:beforeLines="0" w:after="0" w:afterLines="0" w:line="360" w:lineRule="auto"/>
        <w:ind w:left="480" w:hanging="482" w:hangingChars="200"/>
        <w:jc w:val="left"/>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（1）、服务商具有 国家ITSS运维服务资质证书、ISO 20000信息技术服务管理体系认证证书、</w:t>
      </w:r>
      <w:bookmarkStart w:id="37" w:name="_Toc6062"/>
      <w:bookmarkStart w:id="38" w:name="_Toc24065"/>
      <w:bookmarkStart w:id="39" w:name="_Toc16659"/>
      <w:bookmarkStart w:id="40" w:name="_Toc23405"/>
      <w:bookmarkStart w:id="41" w:name="_Toc5777"/>
      <w:bookmarkStart w:id="42" w:name="_Toc19525"/>
      <w:bookmarkStart w:id="43" w:name="_Toc16249"/>
      <w:r>
        <w:rPr>
          <w:rFonts w:hint="eastAsia" w:ascii="宋体" w:hAnsi="宋体" w:eastAsia="宋体" w:cs="宋体"/>
          <w:b/>
          <w:bCs/>
          <w:sz w:val="24"/>
          <w:szCs w:val="24"/>
          <w:lang w:val="en-US" w:eastAsia="zh-CN"/>
        </w:rPr>
        <w:t>具有ISO 27001信息安全管理体系认证证书</w:t>
      </w:r>
      <w:bookmarkEnd w:id="37"/>
      <w:bookmarkEnd w:id="38"/>
      <w:bookmarkEnd w:id="39"/>
      <w:bookmarkEnd w:id="40"/>
      <w:bookmarkEnd w:id="41"/>
      <w:bookmarkEnd w:id="42"/>
      <w:bookmarkEnd w:id="43"/>
      <w:r>
        <w:rPr>
          <w:rFonts w:hint="eastAsia" w:ascii="宋体" w:hAnsi="宋体" w:eastAsia="宋体" w:cs="宋体"/>
          <w:b/>
          <w:bCs/>
          <w:sz w:val="24"/>
          <w:szCs w:val="24"/>
          <w:lang w:val="en-US" w:eastAsia="zh-CN"/>
        </w:rPr>
        <w:t>；</w:t>
      </w:r>
    </w:p>
    <w:p>
      <w:pPr>
        <w:bidi w:val="0"/>
        <w:rPr>
          <w:rFonts w:hint="eastAsia" w:ascii="宋体" w:hAnsi="宋体" w:eastAsia="宋体" w:cs="宋体"/>
          <w:lang w:val="en-US" w:eastAsia="zh-CN"/>
        </w:rPr>
      </w:pPr>
    </w:p>
    <w:p>
      <w:pPr>
        <w:pStyle w:val="27"/>
        <w:ind w:left="0" w:leftChars="0" w:firstLine="0" w:firstLineChars="0"/>
        <w:rPr>
          <w:rFonts w:hint="eastAsia" w:ascii="宋体" w:hAnsi="宋体" w:eastAsia="宋体" w:cs="宋体"/>
          <w:lang w:val="en-US" w:eastAsia="zh-CN"/>
        </w:rPr>
      </w:pPr>
      <w:r>
        <w:rPr>
          <w:rFonts w:hint="eastAsia" w:ascii="宋体" w:hAnsi="宋体" w:eastAsia="宋体" w:cs="宋体"/>
          <w:b/>
          <w:bCs/>
          <w:sz w:val="24"/>
          <w:szCs w:val="24"/>
        </w:rPr>
        <w:t>（</w:t>
      </w:r>
      <w:r>
        <w:rPr>
          <w:rFonts w:hint="eastAsia" w:ascii="宋体" w:hAnsi="宋体" w:eastAsia="宋体" w:cs="宋体"/>
          <w:b/>
          <w:bCs/>
          <w:sz w:val="24"/>
          <w:szCs w:val="24"/>
          <w:lang w:val="en-US" w:eastAsia="zh-CN"/>
        </w:rPr>
        <w:t>2</w:t>
      </w:r>
      <w:r>
        <w:rPr>
          <w:rFonts w:hint="eastAsia" w:ascii="宋体" w:hAnsi="宋体" w:eastAsia="宋体" w:cs="宋体"/>
          <w:b/>
          <w:bCs/>
          <w:sz w:val="24"/>
          <w:szCs w:val="24"/>
        </w:rPr>
        <w:t>）</w:t>
      </w:r>
      <w:r>
        <w:rPr>
          <w:rFonts w:hint="eastAsia" w:ascii="宋体" w:hAnsi="宋体" w:eastAsia="宋体" w:cs="宋体"/>
          <w:b/>
          <w:bCs/>
          <w:sz w:val="24"/>
          <w:szCs w:val="24"/>
          <w:lang w:eastAsia="zh-CN"/>
        </w:rPr>
        <w:t>服务商</w:t>
      </w:r>
      <w:r>
        <w:rPr>
          <w:rFonts w:hint="eastAsia" w:ascii="宋体" w:hAnsi="宋体" w:eastAsia="宋体" w:cs="宋体"/>
          <w:b/>
          <w:bCs/>
          <w:sz w:val="24"/>
          <w:szCs w:val="24"/>
        </w:rPr>
        <w:t>应为本项目建立不少于</w:t>
      </w:r>
      <w:r>
        <w:rPr>
          <w:rFonts w:hint="eastAsia" w:ascii="宋体" w:hAnsi="宋体" w:eastAsia="宋体" w:cs="宋体"/>
          <w:b/>
          <w:bCs/>
          <w:sz w:val="24"/>
          <w:szCs w:val="24"/>
          <w:lang w:val="en-US" w:eastAsia="zh-CN"/>
        </w:rPr>
        <w:t>5</w:t>
      </w:r>
      <w:r>
        <w:rPr>
          <w:rFonts w:hint="eastAsia" w:ascii="宋体" w:hAnsi="宋体" w:eastAsia="宋体" w:cs="宋体"/>
          <w:b/>
          <w:bCs/>
          <w:sz w:val="24"/>
          <w:szCs w:val="24"/>
        </w:rPr>
        <w:t>人的技术</w:t>
      </w:r>
      <w:r>
        <w:rPr>
          <w:rFonts w:hint="eastAsia" w:ascii="宋体" w:hAnsi="宋体" w:eastAsia="宋体" w:cs="宋体"/>
          <w:b/>
          <w:bCs/>
          <w:sz w:val="24"/>
          <w:szCs w:val="24"/>
          <w:lang w:val="en-US" w:eastAsia="zh-CN"/>
        </w:rPr>
        <w:t>支持</w:t>
      </w:r>
      <w:r>
        <w:rPr>
          <w:rFonts w:hint="eastAsia" w:ascii="宋体" w:hAnsi="宋体" w:eastAsia="宋体" w:cs="宋体"/>
          <w:b/>
          <w:bCs/>
          <w:sz w:val="24"/>
          <w:szCs w:val="24"/>
        </w:rPr>
        <w:t>服务团队</w:t>
      </w:r>
    </w:p>
    <w:p>
      <w:pPr>
        <w:pStyle w:val="27"/>
        <w:spacing w:line="360" w:lineRule="auto"/>
        <w:ind w:left="479" w:leftChars="228" w:firstLine="0" w:firstLineChars="0"/>
        <w:rPr>
          <w:rStyle w:val="79"/>
          <w:rFonts w:hint="eastAsia" w:ascii="宋体" w:hAnsi="宋体" w:eastAsia="宋体" w:cs="宋体"/>
          <w:snapToGrid w:val="0"/>
          <w:color w:val="auto"/>
          <w:sz w:val="21"/>
          <w:szCs w:val="21"/>
          <w:highlight w:val="none"/>
          <w:lang w:val="en-US" w:eastAsia="zh-CN" w:bidi="ar"/>
        </w:rPr>
      </w:pPr>
      <w:r>
        <w:rPr>
          <w:rStyle w:val="78"/>
          <w:rFonts w:hint="eastAsia" w:ascii="宋体" w:hAnsi="宋体" w:eastAsia="宋体" w:cs="宋体"/>
          <w:snapToGrid w:val="0"/>
          <w:color w:val="auto"/>
          <w:sz w:val="21"/>
          <w:szCs w:val="21"/>
          <w:highlight w:val="none"/>
          <w:lang w:val="en-US" w:eastAsia="zh-CN" w:bidi="ar"/>
        </w:rPr>
        <w:t>1、项目经理</w:t>
      </w:r>
      <w:r>
        <w:rPr>
          <w:rStyle w:val="79"/>
          <w:rFonts w:hint="eastAsia" w:ascii="宋体" w:hAnsi="宋体" w:eastAsia="宋体" w:cs="宋体"/>
          <w:snapToGrid w:val="0"/>
          <w:color w:val="auto"/>
          <w:sz w:val="21"/>
          <w:szCs w:val="21"/>
          <w:highlight w:val="none"/>
          <w:lang w:val="en-US" w:eastAsia="zh-CN" w:bidi="ar"/>
        </w:rPr>
        <w:t>：1名具有5年以上具有PMP认证资格的项目经理，以及提供其既往服务医疗用户案例，并提供服务商所在单位缴纳的社保证明及资质证明；</w:t>
      </w:r>
      <w:r>
        <w:rPr>
          <w:rStyle w:val="79"/>
          <w:rFonts w:hint="eastAsia" w:ascii="宋体" w:hAnsi="宋体" w:eastAsia="宋体" w:cs="宋体"/>
          <w:snapToGrid w:val="0"/>
          <w:color w:val="auto"/>
          <w:sz w:val="21"/>
          <w:szCs w:val="21"/>
          <w:highlight w:val="none"/>
          <w:lang w:val="en-US" w:eastAsia="zh-CN" w:bidi="ar"/>
        </w:rPr>
        <w:br w:type="textWrapping"/>
      </w:r>
      <w:r>
        <w:rPr>
          <w:rStyle w:val="78"/>
          <w:rFonts w:hint="eastAsia" w:ascii="宋体" w:hAnsi="宋体" w:eastAsia="宋体" w:cs="宋体"/>
          <w:snapToGrid w:val="0"/>
          <w:color w:val="auto"/>
          <w:sz w:val="21"/>
          <w:szCs w:val="21"/>
          <w:highlight w:val="none"/>
          <w:lang w:val="en-US" w:eastAsia="zh-CN" w:bidi="ar"/>
        </w:rPr>
        <w:t>2、信息安全工程师</w:t>
      </w:r>
      <w:r>
        <w:rPr>
          <w:rStyle w:val="79"/>
          <w:rFonts w:hint="eastAsia" w:ascii="宋体" w:hAnsi="宋体" w:eastAsia="宋体" w:cs="宋体"/>
          <w:snapToGrid w:val="0"/>
          <w:color w:val="auto"/>
          <w:sz w:val="21"/>
          <w:szCs w:val="21"/>
          <w:highlight w:val="none"/>
          <w:lang w:val="en-US" w:eastAsia="zh-CN" w:bidi="ar"/>
        </w:rPr>
        <w:t>：证书包括但不限定，CISP信息安全工程师</w:t>
      </w:r>
      <w:r>
        <w:rPr>
          <w:rStyle w:val="79"/>
          <w:rFonts w:hint="eastAsia" w:ascii="宋体" w:hAnsi="宋体" w:eastAsia="宋体" w:cs="宋体"/>
          <w:snapToGrid w:val="0"/>
          <w:color w:val="auto"/>
          <w:sz w:val="21"/>
          <w:szCs w:val="21"/>
          <w:highlight w:val="none"/>
          <w:lang w:val="en-US" w:eastAsia="zh-CN" w:bidi="ar"/>
        </w:rPr>
        <w:br w:type="textWrapping"/>
      </w:r>
      <w:r>
        <w:rPr>
          <w:rStyle w:val="78"/>
          <w:rFonts w:hint="eastAsia" w:ascii="宋体" w:hAnsi="宋体" w:eastAsia="宋体" w:cs="宋体"/>
          <w:snapToGrid w:val="0"/>
          <w:color w:val="auto"/>
          <w:sz w:val="21"/>
          <w:szCs w:val="21"/>
          <w:highlight w:val="none"/>
          <w:lang w:val="en-US" w:eastAsia="zh-CN" w:bidi="ar"/>
        </w:rPr>
        <w:t>3、高级信息系统运维管理工程师</w:t>
      </w:r>
      <w:r>
        <w:rPr>
          <w:rStyle w:val="79"/>
          <w:rFonts w:hint="eastAsia" w:ascii="宋体" w:hAnsi="宋体" w:eastAsia="宋体" w:cs="宋体"/>
          <w:snapToGrid w:val="0"/>
          <w:color w:val="auto"/>
          <w:sz w:val="21"/>
          <w:szCs w:val="21"/>
          <w:highlight w:val="none"/>
          <w:lang w:val="en-US" w:eastAsia="zh-CN" w:bidi="ar"/>
        </w:rPr>
        <w:t>：证书包括但不限定：华为HCIE证书、华三H3CIE证书、VCP、VMCE证书；</w:t>
      </w:r>
    </w:p>
    <w:p>
      <w:pPr>
        <w:spacing w:line="360" w:lineRule="auto"/>
        <w:ind w:firstLine="420" w:firstLineChars="200"/>
        <w:rPr>
          <w:rFonts w:hint="eastAsia" w:ascii="宋体" w:hAnsi="宋体" w:eastAsia="宋体" w:cs="宋体"/>
        </w:rPr>
      </w:pPr>
      <w:r>
        <w:rPr>
          <w:rFonts w:hint="eastAsia" w:ascii="宋体" w:hAnsi="宋体" w:eastAsia="宋体" w:cs="宋体"/>
          <w:szCs w:val="21"/>
        </w:rPr>
        <w:t>（投标时应提供技术服务团队人员名单、所在单位的社保证明及相关资质证明）。</w:t>
      </w:r>
    </w:p>
    <w:p>
      <w:pPr>
        <w:spacing w:line="360" w:lineRule="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3</w:t>
      </w:r>
      <w:r>
        <w:rPr>
          <w:rFonts w:hint="eastAsia" w:ascii="宋体" w:hAnsi="宋体" w:eastAsia="宋体" w:cs="宋体"/>
          <w:sz w:val="24"/>
          <w:szCs w:val="24"/>
        </w:rPr>
        <w:t>）</w:t>
      </w:r>
      <w:r>
        <w:rPr>
          <w:rFonts w:hint="eastAsia" w:ascii="宋体" w:hAnsi="宋体" w:eastAsia="宋体" w:cs="宋体"/>
          <w:color w:val="auto"/>
          <w:sz w:val="24"/>
          <w:szCs w:val="24"/>
          <w:lang w:eastAsia="zh-CN"/>
        </w:rPr>
        <w:t>服务商</w:t>
      </w:r>
      <w:r>
        <w:rPr>
          <w:rFonts w:hint="eastAsia" w:ascii="宋体" w:hAnsi="宋体" w:eastAsia="宋体" w:cs="宋体"/>
          <w:color w:val="auto"/>
          <w:sz w:val="24"/>
          <w:szCs w:val="24"/>
        </w:rPr>
        <w:t>应提供1名专职工程师为用户提供日常运维服务，</w:t>
      </w:r>
      <w:r>
        <w:rPr>
          <w:rFonts w:hint="eastAsia" w:ascii="宋体" w:hAnsi="宋体" w:eastAsia="宋体" w:cs="宋体"/>
          <w:color w:val="FF0000"/>
          <w:sz w:val="24"/>
          <w:szCs w:val="24"/>
          <w:lang w:val="en-US" w:eastAsia="zh-CN"/>
        </w:rPr>
        <w:t>运维工程师的工作范围</w:t>
      </w:r>
      <w:r>
        <w:rPr>
          <w:rFonts w:hint="eastAsia" w:ascii="宋体" w:hAnsi="宋体" w:cs="宋体"/>
          <w:color w:val="FF0000"/>
          <w:sz w:val="24"/>
          <w:szCs w:val="24"/>
          <w:lang w:val="en-US" w:eastAsia="zh-CN"/>
        </w:rPr>
        <w:t>由</w:t>
      </w:r>
      <w:r>
        <w:rPr>
          <w:rFonts w:hint="eastAsia" w:ascii="宋体" w:hAnsi="宋体" w:eastAsia="宋体" w:cs="宋体"/>
          <w:color w:val="FF0000"/>
          <w:sz w:val="24"/>
          <w:szCs w:val="24"/>
          <w:lang w:val="en-US" w:eastAsia="zh-CN"/>
        </w:rPr>
        <w:t>院方指定</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驻点人员对医院设备的日常维护，上班时间为早上8：00至17：00。上下班时间与医院同步，节假日除外（或根据医院人流分布情况具体协商），节假日有备班及联系电话，接到电话后及时到现场处理。若医院需要，驻点人员在周末或夜间应能配合加班。（签订合同后立即派驻工程师至服务期结束）。</w:t>
      </w:r>
      <w:r>
        <w:rPr>
          <w:rFonts w:hint="eastAsia" w:ascii="宋体" w:hAnsi="宋体" w:eastAsia="宋体" w:cs="宋体"/>
          <w:sz w:val="24"/>
          <w:szCs w:val="24"/>
        </w:rPr>
        <w:t>人员要求具备5年以上医院维护相关工作经验，无行政处罚记录，熟悉</w:t>
      </w:r>
      <w:r>
        <w:rPr>
          <w:rFonts w:hint="eastAsia" w:ascii="宋体" w:hAnsi="宋体" w:eastAsia="宋体" w:cs="宋体"/>
          <w:sz w:val="24"/>
          <w:szCs w:val="24"/>
          <w:lang w:val="en-US" w:eastAsia="zh-CN"/>
        </w:rPr>
        <w:t>网络、</w:t>
      </w:r>
      <w:r>
        <w:rPr>
          <w:rFonts w:hint="eastAsia" w:ascii="宋体" w:hAnsi="宋体" w:eastAsia="宋体" w:cs="宋体"/>
          <w:sz w:val="24"/>
          <w:szCs w:val="24"/>
        </w:rPr>
        <w:t>Linux、Vmware、Oracle。服务人员经用户方确认后原则上不允许变动，因人员离职等特殊情况确需要变动的，接替人员应具备同等要求，每变动1次增加不少于2个月的服务交接期。现场工程师的资质要求为本次招标的重要内容，在合同执行过程中，如发现中标单位派入的工程师不符合要求的，可随时终止合同，由此引起的后果概由中标单位承担。</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4</w:t>
      </w:r>
      <w:r>
        <w:rPr>
          <w:rFonts w:hint="eastAsia" w:ascii="宋体" w:hAnsi="宋体" w:eastAsia="宋体" w:cs="宋体"/>
          <w:sz w:val="24"/>
          <w:szCs w:val="24"/>
        </w:rPr>
        <w:t>）</w:t>
      </w:r>
      <w:r>
        <w:rPr>
          <w:rFonts w:hint="eastAsia" w:ascii="宋体" w:hAnsi="宋体" w:eastAsia="宋体" w:cs="宋体"/>
          <w:sz w:val="24"/>
          <w:szCs w:val="24"/>
          <w:lang w:eastAsia="zh-CN"/>
        </w:rPr>
        <w:t>服务商</w:t>
      </w:r>
      <w:r>
        <w:rPr>
          <w:rFonts w:hint="eastAsia" w:ascii="宋体" w:hAnsi="宋体" w:eastAsia="宋体" w:cs="宋体"/>
          <w:sz w:val="24"/>
          <w:szCs w:val="24"/>
        </w:rPr>
        <w:t>及其员工必须做好相关信息数据保密工作，承担保密责任。未经允许不得对外透露采购人相关的设备、网络及系统的信息，未经允许不得复制与工作相关的数据与信息，不得以任何方式和渠道向外界传递、泄露、披露任何信息数据。</w:t>
      </w:r>
    </w:p>
    <w:p>
      <w:pPr>
        <w:spacing w:line="360" w:lineRule="auto"/>
        <w:ind w:firstLine="480" w:firstLineChars="200"/>
        <w:rPr>
          <w:rFonts w:hint="default" w:ascii="宋体" w:hAnsi="宋体" w:eastAsia="宋体" w:cs="宋体"/>
          <w:sz w:val="24"/>
          <w:szCs w:val="24"/>
          <w:lang w:val="en-US" w:eastAsia="zh-CN"/>
        </w:rPr>
      </w:pPr>
      <w:r>
        <w:rPr>
          <w:rFonts w:hint="eastAsia" w:ascii="宋体" w:hAnsi="宋体" w:cs="宋体"/>
          <w:sz w:val="24"/>
          <w:szCs w:val="24"/>
          <w:lang w:eastAsia="zh-CN"/>
        </w:rPr>
        <w:t>（</w:t>
      </w:r>
      <w:r>
        <w:rPr>
          <w:rFonts w:hint="eastAsia" w:ascii="宋体" w:hAnsi="宋体" w:cs="宋体"/>
          <w:sz w:val="24"/>
          <w:szCs w:val="24"/>
          <w:lang w:val="en-US" w:eastAsia="zh-CN"/>
        </w:rPr>
        <w:t>5</w:t>
      </w:r>
      <w:r>
        <w:rPr>
          <w:rFonts w:hint="eastAsia" w:ascii="宋体" w:hAnsi="宋体" w:cs="宋体"/>
          <w:sz w:val="24"/>
          <w:szCs w:val="24"/>
          <w:lang w:eastAsia="zh-CN"/>
        </w:rPr>
        <w:t>）</w:t>
      </w:r>
      <w:r>
        <w:rPr>
          <w:rFonts w:hint="eastAsia" w:ascii="宋体" w:hAnsi="宋体" w:cs="宋体"/>
          <w:sz w:val="24"/>
          <w:szCs w:val="24"/>
          <w:lang w:val="en-US" w:eastAsia="zh-CN"/>
        </w:rPr>
        <w:t>服务涵盖机房所有设备的维修费用，不在清单的以机房实际设备为准。</w:t>
      </w:r>
    </w:p>
    <w:sectPr>
      <w:pgSz w:w="11906" w:h="16838"/>
      <w:pgMar w:top="1327" w:right="1689" w:bottom="1327" w:left="1689"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GothamRounded-Book">
    <w:altName w:val="Segoe Print"/>
    <w:panose1 w:val="00000000000000000000"/>
    <w:charset w:val="00"/>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9</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20"/>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9</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p>
  <w:p>
    <w:pPr>
      <w:pStyle w:val="21"/>
    </w:pPr>
  </w:p>
  <w:p>
    <w:pPr>
      <w:pStyle w:val="2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02B28A4"/>
    <w:multiLevelType w:val="multilevel"/>
    <w:tmpl w:val="302B28A4"/>
    <w:lvl w:ilvl="0" w:tentative="0">
      <w:start w:val="3"/>
      <w:numFmt w:val="decimal"/>
      <w:lvlText w:val="%1."/>
      <w:lvlJc w:val="left"/>
      <w:pPr>
        <w:ind w:left="855" w:hanging="855"/>
      </w:pPr>
      <w:rPr>
        <w:rFonts w:hint="default"/>
      </w:rPr>
    </w:lvl>
    <w:lvl w:ilvl="1" w:tentative="0">
      <w:start w:val="2"/>
      <w:numFmt w:val="decimal"/>
      <w:lvlText w:val="%1.%2．"/>
      <w:lvlJc w:val="left"/>
      <w:pPr>
        <w:ind w:left="1080" w:hanging="1080"/>
      </w:pPr>
      <w:rPr>
        <w:rFonts w:hint="default"/>
      </w:rPr>
    </w:lvl>
    <w:lvl w:ilvl="2" w:tentative="0">
      <w:start w:val="1"/>
      <w:numFmt w:val="decimal"/>
      <w:lvlText w:val="%1.%2．%3."/>
      <w:lvlJc w:val="left"/>
      <w:pPr>
        <w:ind w:left="1440" w:hanging="1440"/>
      </w:pPr>
      <w:rPr>
        <w:rFonts w:hint="default"/>
      </w:rPr>
    </w:lvl>
    <w:lvl w:ilvl="3" w:tentative="0">
      <w:start w:val="1"/>
      <w:numFmt w:val="decimal"/>
      <w:lvlText w:val="%1.%2．%3.%4."/>
      <w:lvlJc w:val="left"/>
      <w:pPr>
        <w:ind w:left="1800" w:hanging="1800"/>
      </w:pPr>
      <w:rPr>
        <w:rFonts w:hint="default"/>
      </w:rPr>
    </w:lvl>
    <w:lvl w:ilvl="4" w:tentative="0">
      <w:start w:val="1"/>
      <w:numFmt w:val="decimal"/>
      <w:lvlText w:val="%1.%2．%3.%4.%5."/>
      <w:lvlJc w:val="left"/>
      <w:pPr>
        <w:ind w:left="1800" w:hanging="1800"/>
      </w:pPr>
      <w:rPr>
        <w:rFonts w:hint="default"/>
      </w:rPr>
    </w:lvl>
    <w:lvl w:ilvl="5" w:tentative="0">
      <w:start w:val="1"/>
      <w:numFmt w:val="decimal"/>
      <w:lvlText w:val="%1.%2．%3.%4.%5.%6."/>
      <w:lvlJc w:val="left"/>
      <w:pPr>
        <w:ind w:left="2160" w:hanging="2160"/>
      </w:pPr>
      <w:rPr>
        <w:rFonts w:hint="default"/>
      </w:rPr>
    </w:lvl>
    <w:lvl w:ilvl="6" w:tentative="0">
      <w:start w:val="1"/>
      <w:numFmt w:val="decimal"/>
      <w:lvlText w:val="%1.%2．%3.%4.%5.%6.%7."/>
      <w:lvlJc w:val="left"/>
      <w:pPr>
        <w:ind w:left="2520" w:hanging="2520"/>
      </w:pPr>
      <w:rPr>
        <w:rFonts w:hint="default"/>
      </w:rPr>
    </w:lvl>
    <w:lvl w:ilvl="7" w:tentative="0">
      <w:start w:val="1"/>
      <w:numFmt w:val="decimal"/>
      <w:lvlText w:val="%1.%2．%3.%4.%5.%6.%7.%8."/>
      <w:lvlJc w:val="left"/>
      <w:pPr>
        <w:ind w:left="2880" w:hanging="2880"/>
      </w:pPr>
      <w:rPr>
        <w:rFonts w:hint="default"/>
      </w:rPr>
    </w:lvl>
    <w:lvl w:ilvl="8" w:tentative="0">
      <w:start w:val="1"/>
      <w:numFmt w:val="decimal"/>
      <w:lvlText w:val="%1.%2．%3.%4.%5.%6.%7.%8.%9."/>
      <w:lvlJc w:val="left"/>
      <w:pPr>
        <w:ind w:left="3240" w:hanging="3240"/>
      </w:pPr>
      <w:rPr>
        <w:rFonts w:hint="default"/>
      </w:rPr>
    </w:lvl>
  </w:abstractNum>
  <w:abstractNum w:abstractNumId="1">
    <w:nsid w:val="330E6CC4"/>
    <w:multiLevelType w:val="multilevel"/>
    <w:tmpl w:val="330E6CC4"/>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664A7A4A"/>
    <w:multiLevelType w:val="multilevel"/>
    <w:tmpl w:val="664A7A4A"/>
    <w:lvl w:ilvl="0" w:tentative="0">
      <w:start w:val="1"/>
      <w:numFmt w:val="decimal"/>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3">
    <w:nsid w:val="6A6168D6"/>
    <w:multiLevelType w:val="multilevel"/>
    <w:tmpl w:val="6A6168D6"/>
    <w:lvl w:ilvl="0" w:tentative="0">
      <w:start w:val="1"/>
      <w:numFmt w:val="decimal"/>
      <w:lvlText w:val="(%1)"/>
      <w:lvlJc w:val="left"/>
      <w:pPr>
        <w:tabs>
          <w:tab w:val="left" w:pos="840"/>
        </w:tabs>
        <w:ind w:left="840" w:hanging="420"/>
      </w:pPr>
      <w:rPr>
        <w:rFonts w:hint="eastAsia"/>
      </w:rPr>
    </w:lvl>
    <w:lvl w:ilvl="1" w:tentative="0">
      <w:start w:val="1"/>
      <w:numFmt w:val="bullet"/>
      <w:lvlText w:val=""/>
      <w:lvlJc w:val="left"/>
      <w:pPr>
        <w:tabs>
          <w:tab w:val="left" w:pos="420"/>
        </w:tabs>
        <w:ind w:left="420" w:hanging="420"/>
      </w:pPr>
      <w:rPr>
        <w:rFonts w:hint="default" w:ascii="Wingdings" w:hAnsi="Wingdings"/>
      </w:rPr>
    </w:lvl>
    <w:lvl w:ilvl="2" w:tentative="0">
      <w:start w:val="1"/>
      <w:numFmt w:val="lowerRoman"/>
      <w:lvlText w:val="%3."/>
      <w:lvlJc w:val="right"/>
      <w:pPr>
        <w:tabs>
          <w:tab w:val="left" w:pos="840"/>
        </w:tabs>
        <w:ind w:left="840" w:hanging="420"/>
      </w:pPr>
    </w:lvl>
    <w:lvl w:ilvl="3" w:tentative="0">
      <w:start w:val="1"/>
      <w:numFmt w:val="decimal"/>
      <w:lvlText w:val="%4."/>
      <w:lvlJc w:val="left"/>
      <w:pPr>
        <w:tabs>
          <w:tab w:val="left" w:pos="1260"/>
        </w:tabs>
        <w:ind w:left="1260" w:hanging="420"/>
      </w:pPr>
    </w:lvl>
    <w:lvl w:ilvl="4" w:tentative="0">
      <w:start w:val="1"/>
      <w:numFmt w:val="lowerLetter"/>
      <w:lvlText w:val="%5)"/>
      <w:lvlJc w:val="left"/>
      <w:pPr>
        <w:tabs>
          <w:tab w:val="left" w:pos="1680"/>
        </w:tabs>
        <w:ind w:left="1680" w:hanging="420"/>
      </w:pPr>
    </w:lvl>
    <w:lvl w:ilvl="5" w:tentative="0">
      <w:start w:val="1"/>
      <w:numFmt w:val="lowerRoman"/>
      <w:lvlText w:val="%6."/>
      <w:lvlJc w:val="right"/>
      <w:pPr>
        <w:tabs>
          <w:tab w:val="left" w:pos="2100"/>
        </w:tabs>
        <w:ind w:left="2100" w:hanging="420"/>
      </w:pPr>
    </w:lvl>
    <w:lvl w:ilvl="6" w:tentative="0">
      <w:start w:val="1"/>
      <w:numFmt w:val="decimal"/>
      <w:lvlText w:val="%7."/>
      <w:lvlJc w:val="left"/>
      <w:pPr>
        <w:tabs>
          <w:tab w:val="left" w:pos="2520"/>
        </w:tabs>
        <w:ind w:left="2520" w:hanging="420"/>
      </w:pPr>
    </w:lvl>
    <w:lvl w:ilvl="7" w:tentative="0">
      <w:start w:val="1"/>
      <w:numFmt w:val="lowerLetter"/>
      <w:lvlText w:val="%8)"/>
      <w:lvlJc w:val="left"/>
      <w:pPr>
        <w:tabs>
          <w:tab w:val="left" w:pos="2940"/>
        </w:tabs>
        <w:ind w:left="2940" w:hanging="420"/>
      </w:pPr>
    </w:lvl>
    <w:lvl w:ilvl="8" w:tentative="0">
      <w:start w:val="1"/>
      <w:numFmt w:val="lowerRoman"/>
      <w:lvlText w:val="%9."/>
      <w:lvlJc w:val="right"/>
      <w:pPr>
        <w:tabs>
          <w:tab w:val="left" w:pos="3360"/>
        </w:tabs>
        <w:ind w:left="3360" w:hanging="420"/>
      </w:pPr>
    </w:lvl>
  </w:abstractNum>
  <w:abstractNum w:abstractNumId="4">
    <w:nsid w:val="713138A6"/>
    <w:multiLevelType w:val="multilevel"/>
    <w:tmpl w:val="713138A6"/>
    <w:lvl w:ilvl="0" w:tentative="0">
      <w:start w:val="3"/>
      <w:numFmt w:val="decimal"/>
      <w:lvlText w:val="%1."/>
      <w:lvlJc w:val="left"/>
      <w:pPr>
        <w:ind w:left="1170" w:hanging="1170"/>
      </w:pPr>
      <w:rPr>
        <w:rFonts w:hint="default"/>
      </w:rPr>
    </w:lvl>
    <w:lvl w:ilvl="1" w:tentative="0">
      <w:start w:val="1"/>
      <w:numFmt w:val="decimal"/>
      <w:lvlText w:val="%1.%2."/>
      <w:lvlJc w:val="left"/>
      <w:pPr>
        <w:ind w:left="1170" w:hanging="1170"/>
      </w:pPr>
      <w:rPr>
        <w:rFonts w:hint="default"/>
      </w:rPr>
    </w:lvl>
    <w:lvl w:ilvl="2" w:tentative="0">
      <w:start w:val="1"/>
      <w:numFmt w:val="decimal"/>
      <w:lvlText w:val="%1.%2.%3．"/>
      <w:lvlJc w:val="left"/>
      <w:pPr>
        <w:ind w:left="1440" w:hanging="1440"/>
      </w:pPr>
      <w:rPr>
        <w:rFonts w:hint="default"/>
      </w:rPr>
    </w:lvl>
    <w:lvl w:ilvl="3" w:tentative="0">
      <w:start w:val="1"/>
      <w:numFmt w:val="decimal"/>
      <w:lvlText w:val="%1.%2.%3．%4."/>
      <w:lvlJc w:val="left"/>
      <w:pPr>
        <w:ind w:left="1800" w:hanging="1800"/>
      </w:pPr>
      <w:rPr>
        <w:rFonts w:hint="default"/>
      </w:rPr>
    </w:lvl>
    <w:lvl w:ilvl="4" w:tentative="0">
      <w:start w:val="1"/>
      <w:numFmt w:val="decimal"/>
      <w:lvlText w:val="%1.%2.%3．%4.%5."/>
      <w:lvlJc w:val="left"/>
      <w:pPr>
        <w:ind w:left="1800" w:hanging="1800"/>
      </w:pPr>
      <w:rPr>
        <w:rFonts w:hint="default"/>
      </w:rPr>
    </w:lvl>
    <w:lvl w:ilvl="5" w:tentative="0">
      <w:start w:val="1"/>
      <w:numFmt w:val="decimal"/>
      <w:lvlText w:val="%1.%2.%3．%4.%5.%6."/>
      <w:lvlJc w:val="left"/>
      <w:pPr>
        <w:ind w:left="2160" w:hanging="2160"/>
      </w:pPr>
      <w:rPr>
        <w:rFonts w:hint="default"/>
      </w:rPr>
    </w:lvl>
    <w:lvl w:ilvl="6" w:tentative="0">
      <w:start w:val="1"/>
      <w:numFmt w:val="decimal"/>
      <w:lvlText w:val="%1.%2.%3．%4.%5.%6.%7."/>
      <w:lvlJc w:val="left"/>
      <w:pPr>
        <w:ind w:left="2520" w:hanging="2520"/>
      </w:pPr>
      <w:rPr>
        <w:rFonts w:hint="default"/>
      </w:rPr>
    </w:lvl>
    <w:lvl w:ilvl="7" w:tentative="0">
      <w:start w:val="1"/>
      <w:numFmt w:val="decimal"/>
      <w:lvlText w:val="%1.%2.%3．%4.%5.%6.%7.%8."/>
      <w:lvlJc w:val="left"/>
      <w:pPr>
        <w:ind w:left="2880" w:hanging="2880"/>
      </w:pPr>
      <w:rPr>
        <w:rFonts w:hint="default"/>
      </w:rPr>
    </w:lvl>
    <w:lvl w:ilvl="8" w:tentative="0">
      <w:start w:val="1"/>
      <w:numFmt w:val="decimal"/>
      <w:lvlText w:val="%1.%2.%3．%4.%5.%6.%7.%8.%9."/>
      <w:lvlJc w:val="left"/>
      <w:pPr>
        <w:ind w:left="3240" w:hanging="3240"/>
      </w:pPr>
      <w:rPr>
        <w:rFonts w:hint="default"/>
      </w:rPr>
    </w:lvl>
  </w:abstractNum>
  <w:abstractNum w:abstractNumId="5">
    <w:nsid w:val="71935EF4"/>
    <w:multiLevelType w:val="multilevel"/>
    <w:tmpl w:val="71935EF4"/>
    <w:lvl w:ilvl="0" w:tentative="0">
      <w:start w:val="3"/>
      <w:numFmt w:val="decimal"/>
      <w:lvlText w:val="%1."/>
      <w:lvlJc w:val="left"/>
      <w:pPr>
        <w:ind w:left="855" w:hanging="855"/>
      </w:pPr>
      <w:rPr>
        <w:rFonts w:hint="default"/>
      </w:rPr>
    </w:lvl>
    <w:lvl w:ilvl="1" w:tentative="0">
      <w:start w:val="1"/>
      <w:numFmt w:val="decimal"/>
      <w:lvlText w:val="%1.%2、"/>
      <w:lvlJc w:val="left"/>
      <w:pPr>
        <w:ind w:left="1080" w:hanging="1080"/>
      </w:pPr>
      <w:rPr>
        <w:rFonts w:hint="default"/>
      </w:rPr>
    </w:lvl>
    <w:lvl w:ilvl="2" w:tentative="0">
      <w:start w:val="1"/>
      <w:numFmt w:val="decimal"/>
      <w:lvlText w:val="%1.%2、%3."/>
      <w:lvlJc w:val="left"/>
      <w:pPr>
        <w:ind w:left="1440" w:hanging="1440"/>
      </w:pPr>
      <w:rPr>
        <w:rFonts w:hint="default"/>
      </w:rPr>
    </w:lvl>
    <w:lvl w:ilvl="3" w:tentative="0">
      <w:start w:val="1"/>
      <w:numFmt w:val="decimal"/>
      <w:lvlText w:val="%1.%2、%3.%4."/>
      <w:lvlJc w:val="left"/>
      <w:pPr>
        <w:ind w:left="1800" w:hanging="1800"/>
      </w:pPr>
      <w:rPr>
        <w:rFonts w:hint="default"/>
      </w:rPr>
    </w:lvl>
    <w:lvl w:ilvl="4" w:tentative="0">
      <w:start w:val="1"/>
      <w:numFmt w:val="decimal"/>
      <w:lvlText w:val="%1.%2、%3.%4.%5."/>
      <w:lvlJc w:val="left"/>
      <w:pPr>
        <w:ind w:left="1800" w:hanging="1800"/>
      </w:pPr>
      <w:rPr>
        <w:rFonts w:hint="default"/>
      </w:rPr>
    </w:lvl>
    <w:lvl w:ilvl="5" w:tentative="0">
      <w:start w:val="1"/>
      <w:numFmt w:val="decimal"/>
      <w:lvlText w:val="%1.%2、%3.%4.%5.%6."/>
      <w:lvlJc w:val="left"/>
      <w:pPr>
        <w:ind w:left="2160" w:hanging="2160"/>
      </w:pPr>
      <w:rPr>
        <w:rFonts w:hint="default"/>
      </w:rPr>
    </w:lvl>
    <w:lvl w:ilvl="6" w:tentative="0">
      <w:start w:val="1"/>
      <w:numFmt w:val="decimal"/>
      <w:lvlText w:val="%1.%2、%3.%4.%5.%6.%7."/>
      <w:lvlJc w:val="left"/>
      <w:pPr>
        <w:ind w:left="2520" w:hanging="2520"/>
      </w:pPr>
      <w:rPr>
        <w:rFonts w:hint="default"/>
      </w:rPr>
    </w:lvl>
    <w:lvl w:ilvl="7" w:tentative="0">
      <w:start w:val="1"/>
      <w:numFmt w:val="decimal"/>
      <w:lvlText w:val="%1.%2、%3.%4.%5.%6.%7.%8."/>
      <w:lvlJc w:val="left"/>
      <w:pPr>
        <w:ind w:left="2880" w:hanging="2880"/>
      </w:pPr>
      <w:rPr>
        <w:rFonts w:hint="default"/>
      </w:rPr>
    </w:lvl>
    <w:lvl w:ilvl="8" w:tentative="0">
      <w:start w:val="1"/>
      <w:numFmt w:val="decimal"/>
      <w:lvlText w:val="%1.%2、%3.%4.%5.%6.%7.%8.%9."/>
      <w:lvlJc w:val="left"/>
      <w:pPr>
        <w:ind w:left="3240" w:hanging="3240"/>
      </w:pPr>
      <w:rPr>
        <w:rFonts w:hint="default"/>
      </w:rPr>
    </w:lvl>
  </w:abstractNum>
  <w:abstractNum w:abstractNumId="6">
    <w:nsid w:val="78D54632"/>
    <w:multiLevelType w:val="multilevel"/>
    <w:tmpl w:val="78D54632"/>
    <w:lvl w:ilvl="0" w:tentative="0">
      <w:start w:val="1"/>
      <w:numFmt w:val="decimal"/>
      <w:lvlText w:val="%1)"/>
      <w:lvlJc w:val="left"/>
      <w:pPr>
        <w:ind w:left="1065" w:hanging="420"/>
      </w:pPr>
    </w:lvl>
    <w:lvl w:ilvl="1" w:tentative="0">
      <w:start w:val="1"/>
      <w:numFmt w:val="lowerLetter"/>
      <w:lvlText w:val="%2)"/>
      <w:lvlJc w:val="left"/>
      <w:pPr>
        <w:ind w:left="1485" w:hanging="420"/>
      </w:pPr>
    </w:lvl>
    <w:lvl w:ilvl="2" w:tentative="0">
      <w:start w:val="1"/>
      <w:numFmt w:val="lowerRoman"/>
      <w:lvlText w:val="%3."/>
      <w:lvlJc w:val="right"/>
      <w:pPr>
        <w:ind w:left="1905" w:hanging="420"/>
      </w:pPr>
    </w:lvl>
    <w:lvl w:ilvl="3" w:tentative="0">
      <w:start w:val="1"/>
      <w:numFmt w:val="decimal"/>
      <w:lvlText w:val="%4."/>
      <w:lvlJc w:val="left"/>
      <w:pPr>
        <w:ind w:left="2325" w:hanging="420"/>
      </w:pPr>
    </w:lvl>
    <w:lvl w:ilvl="4" w:tentative="0">
      <w:start w:val="1"/>
      <w:numFmt w:val="lowerLetter"/>
      <w:lvlText w:val="%5)"/>
      <w:lvlJc w:val="left"/>
      <w:pPr>
        <w:ind w:left="2745" w:hanging="420"/>
      </w:pPr>
    </w:lvl>
    <w:lvl w:ilvl="5" w:tentative="0">
      <w:start w:val="1"/>
      <w:numFmt w:val="lowerRoman"/>
      <w:lvlText w:val="%6."/>
      <w:lvlJc w:val="right"/>
      <w:pPr>
        <w:ind w:left="3165" w:hanging="420"/>
      </w:pPr>
    </w:lvl>
    <w:lvl w:ilvl="6" w:tentative="0">
      <w:start w:val="1"/>
      <w:numFmt w:val="decimal"/>
      <w:lvlText w:val="%7."/>
      <w:lvlJc w:val="left"/>
      <w:pPr>
        <w:ind w:left="3585" w:hanging="420"/>
      </w:pPr>
    </w:lvl>
    <w:lvl w:ilvl="7" w:tentative="0">
      <w:start w:val="1"/>
      <w:numFmt w:val="lowerLetter"/>
      <w:lvlText w:val="%8)"/>
      <w:lvlJc w:val="left"/>
      <w:pPr>
        <w:ind w:left="4005" w:hanging="420"/>
      </w:pPr>
    </w:lvl>
    <w:lvl w:ilvl="8" w:tentative="0">
      <w:start w:val="1"/>
      <w:numFmt w:val="lowerRoman"/>
      <w:lvlText w:val="%9."/>
      <w:lvlJc w:val="right"/>
      <w:pPr>
        <w:ind w:left="4425" w:hanging="420"/>
      </w:pPr>
    </w:lvl>
  </w:abstractNum>
  <w:num w:numId="1">
    <w:abstractNumId w:val="1"/>
  </w:num>
  <w:num w:numId="2">
    <w:abstractNumId w:val="5"/>
  </w:num>
  <w:num w:numId="3">
    <w:abstractNumId w:val="4"/>
  </w:num>
  <w:num w:numId="4">
    <w:abstractNumId w:val="0"/>
  </w:num>
  <w:num w:numId="5">
    <w:abstractNumId w:val="6"/>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embedSystemFonts/>
  <w:bordersDoNotSurroundHeader w:val="1"/>
  <w:bordersDoNotSurroundFooter w:val="1"/>
  <w:documentProtection w:enforcement="0"/>
  <w:defaultTabStop w:val="420"/>
  <w:doNotUseMarginsForDrawingGridOrigin w:val="1"/>
  <w:drawingGridHorizontalOrigin w:val="1800"/>
  <w:drawingGridVerticalOrigin w:val="1440"/>
  <w:characterSpacingControl w:val="doNotCompress"/>
  <w:compat>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2QxYzVlMjExNDM1ZWEwMjEzMzFjZTZjMTUyZGRhMzYifQ=="/>
  </w:docVars>
  <w:rsids>
    <w:rsidRoot w:val="00826FF5"/>
    <w:rsid w:val="00000149"/>
    <w:rsid w:val="000C13FC"/>
    <w:rsid w:val="000C6164"/>
    <w:rsid w:val="0018639E"/>
    <w:rsid w:val="001F79A5"/>
    <w:rsid w:val="00242101"/>
    <w:rsid w:val="00275FAF"/>
    <w:rsid w:val="00282567"/>
    <w:rsid w:val="0037001B"/>
    <w:rsid w:val="003827AA"/>
    <w:rsid w:val="003A62AA"/>
    <w:rsid w:val="003D344D"/>
    <w:rsid w:val="003D3572"/>
    <w:rsid w:val="00466BAA"/>
    <w:rsid w:val="00550DA5"/>
    <w:rsid w:val="00583277"/>
    <w:rsid w:val="006A71F2"/>
    <w:rsid w:val="006E1671"/>
    <w:rsid w:val="0076066A"/>
    <w:rsid w:val="007B6879"/>
    <w:rsid w:val="007C4059"/>
    <w:rsid w:val="007E2D6B"/>
    <w:rsid w:val="007F7BDD"/>
    <w:rsid w:val="00826FF5"/>
    <w:rsid w:val="00850343"/>
    <w:rsid w:val="00864B90"/>
    <w:rsid w:val="008A1C84"/>
    <w:rsid w:val="00906E3E"/>
    <w:rsid w:val="00970047"/>
    <w:rsid w:val="00971219"/>
    <w:rsid w:val="009A78FC"/>
    <w:rsid w:val="00A36ACA"/>
    <w:rsid w:val="00AC76ED"/>
    <w:rsid w:val="00B34C6A"/>
    <w:rsid w:val="00B378DB"/>
    <w:rsid w:val="00B436DA"/>
    <w:rsid w:val="00B43F76"/>
    <w:rsid w:val="00BA690B"/>
    <w:rsid w:val="00BC1F0C"/>
    <w:rsid w:val="00BF6662"/>
    <w:rsid w:val="00C2406A"/>
    <w:rsid w:val="00C56E49"/>
    <w:rsid w:val="00CB7447"/>
    <w:rsid w:val="00D25623"/>
    <w:rsid w:val="00DE7970"/>
    <w:rsid w:val="00E21F9A"/>
    <w:rsid w:val="00E45D41"/>
    <w:rsid w:val="00E72723"/>
    <w:rsid w:val="00E862AB"/>
    <w:rsid w:val="00EE1977"/>
    <w:rsid w:val="00F17D98"/>
    <w:rsid w:val="00FD230F"/>
    <w:rsid w:val="00FF34EB"/>
    <w:rsid w:val="01B53912"/>
    <w:rsid w:val="03353615"/>
    <w:rsid w:val="03741BC6"/>
    <w:rsid w:val="039C57C0"/>
    <w:rsid w:val="03A96A17"/>
    <w:rsid w:val="05D171B7"/>
    <w:rsid w:val="05F10C5B"/>
    <w:rsid w:val="06636B52"/>
    <w:rsid w:val="067A33A5"/>
    <w:rsid w:val="06C70123"/>
    <w:rsid w:val="0704757D"/>
    <w:rsid w:val="073C42EF"/>
    <w:rsid w:val="080B1311"/>
    <w:rsid w:val="082F67CD"/>
    <w:rsid w:val="08612F97"/>
    <w:rsid w:val="089C4EBD"/>
    <w:rsid w:val="08E33FDA"/>
    <w:rsid w:val="08E42587"/>
    <w:rsid w:val="0952725D"/>
    <w:rsid w:val="0A357927"/>
    <w:rsid w:val="0A822A77"/>
    <w:rsid w:val="0C127A61"/>
    <w:rsid w:val="0C593530"/>
    <w:rsid w:val="0C894646"/>
    <w:rsid w:val="0CA77764"/>
    <w:rsid w:val="0D4C4E97"/>
    <w:rsid w:val="0DCD52F8"/>
    <w:rsid w:val="0DFE51FE"/>
    <w:rsid w:val="0E6C540C"/>
    <w:rsid w:val="0F1F36E8"/>
    <w:rsid w:val="0F2C5281"/>
    <w:rsid w:val="0F637FC0"/>
    <w:rsid w:val="10572BDA"/>
    <w:rsid w:val="11524A76"/>
    <w:rsid w:val="120A60E3"/>
    <w:rsid w:val="123C5817"/>
    <w:rsid w:val="12452CB9"/>
    <w:rsid w:val="13565411"/>
    <w:rsid w:val="141540BF"/>
    <w:rsid w:val="145D451B"/>
    <w:rsid w:val="152677BF"/>
    <w:rsid w:val="153A2203"/>
    <w:rsid w:val="15945D2D"/>
    <w:rsid w:val="163B4312"/>
    <w:rsid w:val="16664F4D"/>
    <w:rsid w:val="17724345"/>
    <w:rsid w:val="17A153E1"/>
    <w:rsid w:val="17E13B91"/>
    <w:rsid w:val="18502F9D"/>
    <w:rsid w:val="189E59A3"/>
    <w:rsid w:val="1923266F"/>
    <w:rsid w:val="19464BCE"/>
    <w:rsid w:val="19505948"/>
    <w:rsid w:val="1A517C97"/>
    <w:rsid w:val="1B054D86"/>
    <w:rsid w:val="1B0A5019"/>
    <w:rsid w:val="1B901A5A"/>
    <w:rsid w:val="1D7C7DEA"/>
    <w:rsid w:val="1E0B62AB"/>
    <w:rsid w:val="1E0C3498"/>
    <w:rsid w:val="1E1272A7"/>
    <w:rsid w:val="1E2E1299"/>
    <w:rsid w:val="1E353555"/>
    <w:rsid w:val="1E771D5A"/>
    <w:rsid w:val="1EBC0DCD"/>
    <w:rsid w:val="1F08042B"/>
    <w:rsid w:val="20B60D8D"/>
    <w:rsid w:val="20D87CE0"/>
    <w:rsid w:val="21326193"/>
    <w:rsid w:val="224E7275"/>
    <w:rsid w:val="23536B8E"/>
    <w:rsid w:val="23685089"/>
    <w:rsid w:val="23B16EF5"/>
    <w:rsid w:val="241C39CC"/>
    <w:rsid w:val="24C12EA1"/>
    <w:rsid w:val="24C60958"/>
    <w:rsid w:val="25330DD5"/>
    <w:rsid w:val="25944C27"/>
    <w:rsid w:val="261E4623"/>
    <w:rsid w:val="26B640B4"/>
    <w:rsid w:val="26CC272C"/>
    <w:rsid w:val="270B4AEF"/>
    <w:rsid w:val="29987719"/>
    <w:rsid w:val="29CF6AAC"/>
    <w:rsid w:val="2A54710E"/>
    <w:rsid w:val="2A7A5F50"/>
    <w:rsid w:val="2B1E6149"/>
    <w:rsid w:val="2D88263F"/>
    <w:rsid w:val="2E56677B"/>
    <w:rsid w:val="2EAE341D"/>
    <w:rsid w:val="30344376"/>
    <w:rsid w:val="30F617B6"/>
    <w:rsid w:val="31AB2B70"/>
    <w:rsid w:val="320429F6"/>
    <w:rsid w:val="325A5B61"/>
    <w:rsid w:val="33483B2E"/>
    <w:rsid w:val="33617D16"/>
    <w:rsid w:val="338A5133"/>
    <w:rsid w:val="33D513CA"/>
    <w:rsid w:val="33D73C7F"/>
    <w:rsid w:val="34AC732B"/>
    <w:rsid w:val="354B26A0"/>
    <w:rsid w:val="35E073AC"/>
    <w:rsid w:val="36183E5C"/>
    <w:rsid w:val="37EB0E37"/>
    <w:rsid w:val="38645FFB"/>
    <w:rsid w:val="39E52346"/>
    <w:rsid w:val="3AF53D36"/>
    <w:rsid w:val="3B7F5CD3"/>
    <w:rsid w:val="3B9D4A88"/>
    <w:rsid w:val="3BB5DB3F"/>
    <w:rsid w:val="3BBDB0CC"/>
    <w:rsid w:val="3BCF3331"/>
    <w:rsid w:val="3C3F062E"/>
    <w:rsid w:val="3CB77334"/>
    <w:rsid w:val="3DCB95EE"/>
    <w:rsid w:val="3E3F5380"/>
    <w:rsid w:val="3E633F60"/>
    <w:rsid w:val="3EC72042"/>
    <w:rsid w:val="3F0D12C5"/>
    <w:rsid w:val="3F5F7C2B"/>
    <w:rsid w:val="3FD46CFA"/>
    <w:rsid w:val="3FEC5739"/>
    <w:rsid w:val="3FEE760D"/>
    <w:rsid w:val="40606DD3"/>
    <w:rsid w:val="40C92FE9"/>
    <w:rsid w:val="42E02540"/>
    <w:rsid w:val="430F3F38"/>
    <w:rsid w:val="44AB3CCE"/>
    <w:rsid w:val="45965BB9"/>
    <w:rsid w:val="459E1E59"/>
    <w:rsid w:val="45E274CD"/>
    <w:rsid w:val="45E41CE5"/>
    <w:rsid w:val="45F429A5"/>
    <w:rsid w:val="46C929B2"/>
    <w:rsid w:val="473C4742"/>
    <w:rsid w:val="47425BDE"/>
    <w:rsid w:val="47504FFB"/>
    <w:rsid w:val="476F2657"/>
    <w:rsid w:val="47713918"/>
    <w:rsid w:val="479A34DA"/>
    <w:rsid w:val="47AF6127"/>
    <w:rsid w:val="47D159D4"/>
    <w:rsid w:val="48135CA4"/>
    <w:rsid w:val="48A1507C"/>
    <w:rsid w:val="48A83392"/>
    <w:rsid w:val="48D478AE"/>
    <w:rsid w:val="494D658F"/>
    <w:rsid w:val="4A7D14AC"/>
    <w:rsid w:val="4A7E65DE"/>
    <w:rsid w:val="4ACE2178"/>
    <w:rsid w:val="4B532B86"/>
    <w:rsid w:val="4B8B0B87"/>
    <w:rsid w:val="4C29623A"/>
    <w:rsid w:val="4C373990"/>
    <w:rsid w:val="4C3C2AD0"/>
    <w:rsid w:val="4E1F2971"/>
    <w:rsid w:val="4E65247D"/>
    <w:rsid w:val="4E710D88"/>
    <w:rsid w:val="4FCE7F44"/>
    <w:rsid w:val="4FE82B8F"/>
    <w:rsid w:val="529F57F8"/>
    <w:rsid w:val="54F15C81"/>
    <w:rsid w:val="54FD0D9B"/>
    <w:rsid w:val="55A3490D"/>
    <w:rsid w:val="55C10A2C"/>
    <w:rsid w:val="55D73B9B"/>
    <w:rsid w:val="567D2EF9"/>
    <w:rsid w:val="56C46E15"/>
    <w:rsid w:val="57C67681"/>
    <w:rsid w:val="58A40196"/>
    <w:rsid w:val="59735F4E"/>
    <w:rsid w:val="59F4311E"/>
    <w:rsid w:val="5A477276"/>
    <w:rsid w:val="5A854D88"/>
    <w:rsid w:val="5C7731D7"/>
    <w:rsid w:val="5CA754D4"/>
    <w:rsid w:val="5CD42E1F"/>
    <w:rsid w:val="5CFF17AD"/>
    <w:rsid w:val="5D350CD2"/>
    <w:rsid w:val="5D42069B"/>
    <w:rsid w:val="5DF7504B"/>
    <w:rsid w:val="5E431D8C"/>
    <w:rsid w:val="5F93557D"/>
    <w:rsid w:val="61185991"/>
    <w:rsid w:val="618C2D01"/>
    <w:rsid w:val="621E00A0"/>
    <w:rsid w:val="628512F6"/>
    <w:rsid w:val="646D5EFF"/>
    <w:rsid w:val="650E6CB9"/>
    <w:rsid w:val="65E92699"/>
    <w:rsid w:val="6704793E"/>
    <w:rsid w:val="68892FE0"/>
    <w:rsid w:val="68F145F5"/>
    <w:rsid w:val="69331D99"/>
    <w:rsid w:val="69427AA6"/>
    <w:rsid w:val="696E0313"/>
    <w:rsid w:val="6A334C64"/>
    <w:rsid w:val="6A700560"/>
    <w:rsid w:val="6AE46BF3"/>
    <w:rsid w:val="6B3D3D4B"/>
    <w:rsid w:val="6B6E1554"/>
    <w:rsid w:val="6B9751F2"/>
    <w:rsid w:val="6C56297B"/>
    <w:rsid w:val="6C5E257D"/>
    <w:rsid w:val="6C6F6B7F"/>
    <w:rsid w:val="6C832BFF"/>
    <w:rsid w:val="6C9E1A1F"/>
    <w:rsid w:val="6CEB6CD9"/>
    <w:rsid w:val="6D1E60AC"/>
    <w:rsid w:val="6E073E59"/>
    <w:rsid w:val="6E8B6429"/>
    <w:rsid w:val="719B5B12"/>
    <w:rsid w:val="71DF4E0E"/>
    <w:rsid w:val="72A60C85"/>
    <w:rsid w:val="73415358"/>
    <w:rsid w:val="737FCF27"/>
    <w:rsid w:val="744A781E"/>
    <w:rsid w:val="75011B53"/>
    <w:rsid w:val="75E90866"/>
    <w:rsid w:val="75F12EBB"/>
    <w:rsid w:val="76B455F0"/>
    <w:rsid w:val="77D8682E"/>
    <w:rsid w:val="78322C70"/>
    <w:rsid w:val="78F33635"/>
    <w:rsid w:val="78F6A185"/>
    <w:rsid w:val="79BD19A3"/>
    <w:rsid w:val="79DC5A87"/>
    <w:rsid w:val="7A3953DB"/>
    <w:rsid w:val="7AE4556E"/>
    <w:rsid w:val="7AF41DA0"/>
    <w:rsid w:val="7B595BF6"/>
    <w:rsid w:val="7B6051FB"/>
    <w:rsid w:val="7BAF6EB9"/>
    <w:rsid w:val="7C0B57F6"/>
    <w:rsid w:val="7C0E62FA"/>
    <w:rsid w:val="7C1C392F"/>
    <w:rsid w:val="7D7A51BE"/>
    <w:rsid w:val="7E2F5E47"/>
    <w:rsid w:val="7EA034CE"/>
    <w:rsid w:val="7EEB2E3B"/>
    <w:rsid w:val="7F7F4542"/>
    <w:rsid w:val="BB55BEC9"/>
    <w:rsid w:val="BF8F82BE"/>
    <w:rsid w:val="C76EB6C7"/>
    <w:rsid w:val="DFF25EF6"/>
    <w:rsid w:val="E7374C61"/>
    <w:rsid w:val="EF7B80DF"/>
    <w:rsid w:val="F5BE8B87"/>
    <w:rsid w:val="FCBDC21F"/>
    <w:rsid w:val="FF5715E1"/>
    <w:rsid w:val="FFFF6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qFormat="1" w:uiPriority="39"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qFormat="1"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qFormat="1" w:unhideWhenUsed="0" w:uiPriority="99"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99"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99"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ascii="Times New Roman" w:hAnsi="Times New Roman" w:eastAsia="宋体" w:cstheme="minorBidi"/>
      <w:kern w:val="2"/>
      <w:sz w:val="21"/>
      <w:lang w:val="en-US" w:eastAsia="zh-CN" w:bidi="ar-SA"/>
    </w:rPr>
  </w:style>
  <w:style w:type="paragraph" w:styleId="2">
    <w:name w:val="heading 1"/>
    <w:basedOn w:val="3"/>
    <w:next w:val="3"/>
    <w:link w:val="62"/>
    <w:qFormat/>
    <w:uiPriority w:val="0"/>
    <w:pPr>
      <w:keepNext/>
      <w:keepLines/>
      <w:spacing w:before="340" w:after="330" w:line="576" w:lineRule="auto"/>
      <w:outlineLvl w:val="0"/>
    </w:pPr>
    <w:rPr>
      <w:kern w:val="44"/>
      <w:sz w:val="44"/>
      <w:szCs w:val="44"/>
    </w:rPr>
  </w:style>
  <w:style w:type="paragraph" w:styleId="4">
    <w:name w:val="heading 2"/>
    <w:basedOn w:val="2"/>
    <w:next w:val="2"/>
    <w:link w:val="53"/>
    <w:unhideWhenUsed/>
    <w:qFormat/>
    <w:uiPriority w:val="0"/>
    <w:pPr>
      <w:keepNext/>
      <w:keepLines/>
      <w:spacing w:before="260" w:after="260" w:line="416" w:lineRule="auto"/>
      <w:outlineLvl w:val="1"/>
    </w:pPr>
    <w:rPr>
      <w:rFonts w:asciiTheme="majorHAnsi" w:hAnsiTheme="majorHAnsi" w:eastAsiaTheme="majorEastAsia" w:cstheme="majorBidi"/>
      <w:sz w:val="32"/>
      <w:szCs w:val="32"/>
    </w:rPr>
  </w:style>
  <w:style w:type="paragraph" w:styleId="5">
    <w:name w:val="heading 3"/>
    <w:basedOn w:val="1"/>
    <w:next w:val="1"/>
    <w:link w:val="63"/>
    <w:qFormat/>
    <w:uiPriority w:val="0"/>
    <w:pPr>
      <w:keepNext/>
      <w:keepLines/>
      <w:spacing w:before="260" w:after="260" w:line="415" w:lineRule="auto"/>
      <w:outlineLvl w:val="2"/>
    </w:pPr>
    <w:rPr>
      <w:b/>
      <w:bCs/>
      <w:sz w:val="32"/>
      <w:szCs w:val="32"/>
    </w:rPr>
  </w:style>
  <w:style w:type="paragraph" w:styleId="6">
    <w:name w:val="heading 4"/>
    <w:basedOn w:val="1"/>
    <w:next w:val="1"/>
    <w:link w:val="56"/>
    <w:qFormat/>
    <w:uiPriority w:val="0"/>
    <w:pPr>
      <w:keepNext/>
      <w:keepLines/>
      <w:widowControl w:val="0"/>
      <w:tabs>
        <w:tab w:val="left" w:pos="864"/>
      </w:tabs>
      <w:snapToGrid w:val="0"/>
      <w:spacing w:line="360" w:lineRule="auto"/>
      <w:ind w:left="864" w:hanging="864"/>
      <w:outlineLvl w:val="3"/>
    </w:pPr>
    <w:rPr>
      <w:rFonts w:cs="Times New Roman"/>
      <w:b/>
      <w:bCs/>
      <w:sz w:val="28"/>
      <w:szCs w:val="28"/>
    </w:rPr>
  </w:style>
  <w:style w:type="paragraph" w:styleId="7">
    <w:name w:val="heading 5"/>
    <w:basedOn w:val="1"/>
    <w:next w:val="1"/>
    <w:link w:val="57"/>
    <w:qFormat/>
    <w:uiPriority w:val="0"/>
    <w:pPr>
      <w:keepNext/>
      <w:keepLines/>
      <w:widowControl w:val="0"/>
      <w:tabs>
        <w:tab w:val="left" w:pos="1008"/>
      </w:tabs>
      <w:snapToGrid w:val="0"/>
      <w:spacing w:before="280" w:after="290" w:line="376" w:lineRule="auto"/>
      <w:ind w:left="1008" w:hanging="1008"/>
      <w:outlineLvl w:val="4"/>
    </w:pPr>
    <w:rPr>
      <w:rFonts w:cs="Times New Roman"/>
      <w:b/>
      <w:bCs/>
      <w:sz w:val="28"/>
      <w:szCs w:val="28"/>
    </w:rPr>
  </w:style>
  <w:style w:type="paragraph" w:styleId="8">
    <w:name w:val="heading 6"/>
    <w:basedOn w:val="1"/>
    <w:next w:val="1"/>
    <w:link w:val="58"/>
    <w:qFormat/>
    <w:uiPriority w:val="0"/>
    <w:pPr>
      <w:keepNext/>
      <w:keepLines/>
      <w:widowControl w:val="0"/>
      <w:tabs>
        <w:tab w:val="left" w:pos="1152"/>
      </w:tabs>
      <w:snapToGrid w:val="0"/>
      <w:spacing w:before="240" w:after="64" w:line="320" w:lineRule="auto"/>
      <w:ind w:left="1152" w:hanging="1152"/>
      <w:outlineLvl w:val="5"/>
    </w:pPr>
    <w:rPr>
      <w:rFonts w:ascii="Arial" w:hAnsi="Arial" w:eastAsia="黑体" w:cs="Times New Roman"/>
      <w:b/>
      <w:bCs/>
      <w:sz w:val="24"/>
      <w:szCs w:val="24"/>
    </w:rPr>
  </w:style>
  <w:style w:type="paragraph" w:styleId="9">
    <w:name w:val="heading 7"/>
    <w:basedOn w:val="1"/>
    <w:next w:val="1"/>
    <w:link w:val="59"/>
    <w:qFormat/>
    <w:uiPriority w:val="0"/>
    <w:pPr>
      <w:keepNext/>
      <w:keepLines/>
      <w:widowControl w:val="0"/>
      <w:tabs>
        <w:tab w:val="left" w:pos="1296"/>
      </w:tabs>
      <w:snapToGrid w:val="0"/>
      <w:spacing w:before="240" w:after="64" w:line="320" w:lineRule="auto"/>
      <w:ind w:left="1296" w:hanging="1296"/>
      <w:outlineLvl w:val="6"/>
    </w:pPr>
    <w:rPr>
      <w:rFonts w:cs="Times New Roman"/>
      <w:b/>
      <w:bCs/>
      <w:sz w:val="24"/>
      <w:szCs w:val="24"/>
    </w:rPr>
  </w:style>
  <w:style w:type="paragraph" w:styleId="10">
    <w:name w:val="heading 8"/>
    <w:basedOn w:val="1"/>
    <w:next w:val="1"/>
    <w:link w:val="60"/>
    <w:qFormat/>
    <w:uiPriority w:val="0"/>
    <w:pPr>
      <w:keepNext/>
      <w:keepLines/>
      <w:widowControl w:val="0"/>
      <w:tabs>
        <w:tab w:val="left" w:pos="1440"/>
      </w:tabs>
      <w:snapToGrid w:val="0"/>
      <w:spacing w:before="240" w:after="64" w:line="320" w:lineRule="auto"/>
      <w:ind w:left="1440" w:hanging="1440"/>
      <w:outlineLvl w:val="7"/>
    </w:pPr>
    <w:rPr>
      <w:rFonts w:ascii="Arial" w:hAnsi="Arial" w:eastAsia="黑体" w:cs="Times New Roman"/>
      <w:sz w:val="24"/>
      <w:szCs w:val="24"/>
    </w:rPr>
  </w:style>
  <w:style w:type="paragraph" w:styleId="11">
    <w:name w:val="heading 9"/>
    <w:basedOn w:val="1"/>
    <w:next w:val="1"/>
    <w:link w:val="61"/>
    <w:qFormat/>
    <w:uiPriority w:val="0"/>
    <w:pPr>
      <w:keepNext/>
      <w:keepLines/>
      <w:widowControl w:val="0"/>
      <w:tabs>
        <w:tab w:val="left" w:pos="1584"/>
      </w:tabs>
      <w:snapToGrid w:val="0"/>
      <w:spacing w:before="240" w:after="64" w:line="320" w:lineRule="auto"/>
      <w:ind w:left="1584" w:hanging="1584"/>
      <w:outlineLvl w:val="8"/>
    </w:pPr>
    <w:rPr>
      <w:rFonts w:ascii="Arial" w:hAnsi="Arial" w:eastAsia="黑体" w:cs="Times New Roman"/>
      <w:szCs w:val="21"/>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3">
    <w:name w:val="Title"/>
    <w:basedOn w:val="1"/>
    <w:next w:val="1"/>
    <w:link w:val="77"/>
    <w:qFormat/>
    <w:uiPriority w:val="0"/>
    <w:pPr>
      <w:spacing w:before="240" w:after="60"/>
      <w:jc w:val="left"/>
      <w:outlineLvl w:val="0"/>
    </w:pPr>
    <w:rPr>
      <w:rFonts w:asciiTheme="majorHAnsi" w:hAnsiTheme="majorHAnsi" w:eastAsiaTheme="majorEastAsia" w:cstheme="majorBidi"/>
      <w:b/>
      <w:bCs/>
      <w:sz w:val="32"/>
      <w:szCs w:val="32"/>
    </w:rPr>
  </w:style>
  <w:style w:type="paragraph" w:styleId="12">
    <w:name w:val="Normal Indent"/>
    <w:basedOn w:val="1"/>
    <w:link w:val="69"/>
    <w:unhideWhenUsed/>
    <w:qFormat/>
    <w:uiPriority w:val="0"/>
    <w:pPr>
      <w:ind w:firstLine="420" w:firstLineChars="200"/>
    </w:pPr>
  </w:style>
  <w:style w:type="paragraph" w:styleId="13">
    <w:name w:val="annotation text"/>
    <w:basedOn w:val="1"/>
    <w:link w:val="48"/>
    <w:qFormat/>
    <w:uiPriority w:val="99"/>
    <w:pPr>
      <w:jc w:val="left"/>
    </w:pPr>
  </w:style>
  <w:style w:type="paragraph" w:styleId="14">
    <w:name w:val="Body Text"/>
    <w:basedOn w:val="1"/>
    <w:next w:val="15"/>
    <w:unhideWhenUsed/>
    <w:qFormat/>
    <w:uiPriority w:val="99"/>
    <w:pPr>
      <w:adjustRightInd w:val="0"/>
      <w:spacing w:line="315" w:lineRule="atLeast"/>
      <w:jc w:val="left"/>
    </w:pPr>
    <w:rPr>
      <w:rFonts w:ascii="仿宋_GB2312" w:eastAsia="仿宋_GB2312"/>
      <w:kern w:val="0"/>
      <w:sz w:val="28"/>
      <w:szCs w:val="20"/>
    </w:rPr>
  </w:style>
  <w:style w:type="paragraph" w:styleId="15">
    <w:name w:val="toc 8"/>
    <w:basedOn w:val="1"/>
    <w:next w:val="1"/>
    <w:unhideWhenUsed/>
    <w:qFormat/>
    <w:uiPriority w:val="39"/>
    <w:pPr>
      <w:widowControl/>
      <w:spacing w:line="360" w:lineRule="auto"/>
      <w:ind w:left="1960" w:firstLine="200" w:firstLineChars="200"/>
      <w:jc w:val="left"/>
    </w:pPr>
    <w:rPr>
      <w:rFonts w:ascii="Calibri" w:hAnsi="Calibri" w:cs="Calibri"/>
      <w:kern w:val="0"/>
      <w:sz w:val="18"/>
      <w:szCs w:val="18"/>
    </w:rPr>
  </w:style>
  <w:style w:type="paragraph" w:styleId="16">
    <w:name w:val="Body Text Indent"/>
    <w:basedOn w:val="1"/>
    <w:next w:val="1"/>
    <w:qFormat/>
    <w:uiPriority w:val="99"/>
    <w:pPr>
      <w:ind w:firstLine="830" w:firstLineChars="352"/>
    </w:pPr>
    <w:rPr>
      <w:rFonts w:ascii="仿宋_GB2312" w:hAnsi="Calibri" w:eastAsia="仿宋_GB2312"/>
      <w:kern w:val="0"/>
      <w:sz w:val="32"/>
    </w:rPr>
  </w:style>
  <w:style w:type="paragraph" w:styleId="17">
    <w:name w:val="toc 3"/>
    <w:basedOn w:val="1"/>
    <w:next w:val="1"/>
    <w:unhideWhenUsed/>
    <w:qFormat/>
    <w:uiPriority w:val="39"/>
    <w:pPr>
      <w:widowControl w:val="0"/>
      <w:snapToGrid w:val="0"/>
      <w:spacing w:line="360" w:lineRule="auto"/>
      <w:ind w:left="840" w:leftChars="400"/>
    </w:pPr>
    <w:rPr>
      <w:rFonts w:cs="Times New Roman"/>
      <w:sz w:val="24"/>
      <w:szCs w:val="24"/>
    </w:rPr>
  </w:style>
  <w:style w:type="paragraph" w:styleId="18">
    <w:name w:val="Body Text Indent 2"/>
    <w:basedOn w:val="1"/>
    <w:link w:val="72"/>
    <w:qFormat/>
    <w:uiPriority w:val="99"/>
    <w:pPr>
      <w:spacing w:line="480" w:lineRule="atLeast"/>
      <w:ind w:firstLine="480"/>
    </w:pPr>
    <w:rPr>
      <w:rFonts w:ascii="宋体" w:hAnsi="Calibri" w:cs="Times New Roman"/>
      <w:kern w:val="0"/>
      <w:sz w:val="24"/>
    </w:rPr>
  </w:style>
  <w:style w:type="paragraph" w:styleId="19">
    <w:name w:val="Balloon Text"/>
    <w:basedOn w:val="1"/>
    <w:link w:val="68"/>
    <w:unhideWhenUsed/>
    <w:qFormat/>
    <w:uiPriority w:val="99"/>
    <w:pPr>
      <w:widowControl w:val="0"/>
      <w:snapToGrid w:val="0"/>
    </w:pPr>
    <w:rPr>
      <w:rFonts w:cs="Times New Roman"/>
      <w:sz w:val="18"/>
      <w:szCs w:val="18"/>
    </w:rPr>
  </w:style>
  <w:style w:type="paragraph" w:styleId="20">
    <w:name w:val="footer"/>
    <w:basedOn w:val="1"/>
    <w:link w:val="47"/>
    <w:qFormat/>
    <w:uiPriority w:val="99"/>
    <w:pPr>
      <w:tabs>
        <w:tab w:val="center" w:pos="4153"/>
        <w:tab w:val="right" w:pos="8306"/>
      </w:tabs>
      <w:snapToGrid w:val="0"/>
      <w:jc w:val="left"/>
    </w:pPr>
    <w:rPr>
      <w:sz w:val="18"/>
      <w:szCs w:val="18"/>
    </w:rPr>
  </w:style>
  <w:style w:type="paragraph" w:styleId="21">
    <w:name w:val="header"/>
    <w:basedOn w:val="1"/>
    <w:link w:val="46"/>
    <w:qFormat/>
    <w:uiPriority w:val="99"/>
    <w:pPr>
      <w:pBdr>
        <w:bottom w:val="single" w:color="auto" w:sz="6" w:space="1"/>
      </w:pBdr>
      <w:tabs>
        <w:tab w:val="center" w:pos="4153"/>
        <w:tab w:val="right" w:pos="8306"/>
      </w:tabs>
      <w:snapToGrid w:val="0"/>
      <w:jc w:val="center"/>
    </w:pPr>
    <w:rPr>
      <w:sz w:val="18"/>
      <w:szCs w:val="18"/>
    </w:rPr>
  </w:style>
  <w:style w:type="paragraph" w:styleId="22">
    <w:name w:val="toc 1"/>
    <w:basedOn w:val="1"/>
    <w:next w:val="1"/>
    <w:unhideWhenUsed/>
    <w:qFormat/>
    <w:uiPriority w:val="39"/>
    <w:pPr>
      <w:widowControl w:val="0"/>
      <w:snapToGrid w:val="0"/>
      <w:spacing w:line="360" w:lineRule="auto"/>
    </w:pPr>
    <w:rPr>
      <w:rFonts w:cs="Times New Roman"/>
      <w:sz w:val="24"/>
      <w:szCs w:val="24"/>
    </w:rPr>
  </w:style>
  <w:style w:type="paragraph" w:styleId="23">
    <w:name w:val="Subtitle"/>
    <w:basedOn w:val="1"/>
    <w:next w:val="1"/>
    <w:qFormat/>
    <w:uiPriority w:val="11"/>
    <w:pPr>
      <w:jc w:val="center"/>
    </w:pPr>
    <w:rPr>
      <w:rFonts w:asciiTheme="majorHAnsi" w:hAnsiTheme="majorHAnsi" w:eastAsiaTheme="majorEastAsia"/>
      <w:iCs/>
      <w:smallCaps/>
      <w:spacing w:val="10"/>
      <w:sz w:val="28"/>
      <w:szCs w:val="28"/>
    </w:rPr>
  </w:style>
  <w:style w:type="paragraph" w:styleId="24">
    <w:name w:val="Body Text Indent 3"/>
    <w:basedOn w:val="1"/>
    <w:link w:val="71"/>
    <w:qFormat/>
    <w:uiPriority w:val="99"/>
    <w:pPr>
      <w:widowControl w:val="0"/>
      <w:autoSpaceDE w:val="0"/>
      <w:autoSpaceDN w:val="0"/>
      <w:spacing w:line="400" w:lineRule="atLeast"/>
      <w:ind w:firstLine="443" w:firstLineChars="200"/>
      <w:textAlignment w:val="bottom"/>
    </w:pPr>
    <w:rPr>
      <w:rFonts w:ascii="Calibri" w:hAnsi="Calibri" w:eastAsia="黑体" w:cs="Times New Roman"/>
      <w:color w:val="000000"/>
      <w:kern w:val="0"/>
      <w:sz w:val="24"/>
      <w:szCs w:val="24"/>
    </w:rPr>
  </w:style>
  <w:style w:type="paragraph" w:styleId="25">
    <w:name w:val="toc 2"/>
    <w:basedOn w:val="1"/>
    <w:next w:val="1"/>
    <w:unhideWhenUsed/>
    <w:qFormat/>
    <w:uiPriority w:val="39"/>
    <w:pPr>
      <w:ind w:left="420" w:leftChars="200"/>
    </w:pPr>
  </w:style>
  <w:style w:type="paragraph" w:styleId="26">
    <w:name w:val="annotation subject"/>
    <w:basedOn w:val="13"/>
    <w:next w:val="13"/>
    <w:link w:val="49"/>
    <w:qFormat/>
    <w:uiPriority w:val="99"/>
    <w:rPr>
      <w:b/>
      <w:bCs/>
    </w:rPr>
  </w:style>
  <w:style w:type="paragraph" w:styleId="27">
    <w:name w:val="Body Text First Indent"/>
    <w:basedOn w:val="14"/>
    <w:next w:val="1"/>
    <w:unhideWhenUsed/>
    <w:qFormat/>
    <w:uiPriority w:val="0"/>
    <w:pPr>
      <w:adjustRightInd/>
      <w:spacing w:after="120" w:line="240" w:lineRule="auto"/>
      <w:ind w:firstLine="420" w:firstLineChars="100"/>
      <w:jc w:val="both"/>
    </w:pPr>
    <w:rPr>
      <w:rFonts w:ascii="Times New Roman"/>
      <w:kern w:val="2"/>
      <w:sz w:val="21"/>
      <w:szCs w:val="24"/>
    </w:rPr>
  </w:style>
  <w:style w:type="paragraph" w:styleId="28">
    <w:name w:val="Body Text First Indent 2"/>
    <w:basedOn w:val="16"/>
    <w:qFormat/>
    <w:uiPriority w:val="0"/>
    <w:pPr>
      <w:ind w:firstLine="200" w:firstLineChars="200"/>
      <w:jc w:val="left"/>
    </w:pPr>
    <w:rPr>
      <w:rFonts w:ascii="宋体" w:hAnsi="宋体"/>
    </w:rPr>
  </w:style>
  <w:style w:type="table" w:styleId="30">
    <w:name w:val="Table Grid"/>
    <w:basedOn w:val="29"/>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2">
    <w:name w:val="Hyperlink"/>
    <w:basedOn w:val="31"/>
    <w:unhideWhenUsed/>
    <w:qFormat/>
    <w:uiPriority w:val="99"/>
    <w:rPr>
      <w:color w:val="0000FF" w:themeColor="hyperlink"/>
      <w:u w:val="single"/>
      <w14:textFill>
        <w14:solidFill>
          <w14:schemeClr w14:val="hlink"/>
        </w14:solidFill>
      </w14:textFill>
    </w:rPr>
  </w:style>
  <w:style w:type="character" w:styleId="33">
    <w:name w:val="annotation reference"/>
    <w:basedOn w:val="31"/>
    <w:qFormat/>
    <w:uiPriority w:val="99"/>
    <w:rPr>
      <w:sz w:val="21"/>
      <w:szCs w:val="21"/>
    </w:rPr>
  </w:style>
  <w:style w:type="paragraph" w:customStyle="1" w:styleId="34">
    <w:name w:val="Heading3"/>
    <w:basedOn w:val="1"/>
    <w:next w:val="1"/>
    <w:link w:val="38"/>
    <w:qFormat/>
    <w:uiPriority w:val="0"/>
    <w:pPr>
      <w:keepNext/>
      <w:keepLines/>
      <w:spacing w:before="260" w:after="260" w:line="415" w:lineRule="auto"/>
    </w:pPr>
    <w:rPr>
      <w:rFonts w:cs="Times New Roman"/>
      <w:b/>
      <w:bCs/>
      <w:sz w:val="32"/>
      <w:szCs w:val="32"/>
    </w:rPr>
  </w:style>
  <w:style w:type="character" w:customStyle="1" w:styleId="35">
    <w:name w:val="NormalCharacter"/>
    <w:link w:val="36"/>
    <w:qFormat/>
    <w:uiPriority w:val="0"/>
    <w:rPr>
      <w:rFonts w:ascii="Times New Roman" w:hAnsi="Times New Roman" w:cstheme="minorBidi"/>
      <w:b/>
      <w:kern w:val="2"/>
      <w:sz w:val="32"/>
    </w:rPr>
  </w:style>
  <w:style w:type="paragraph" w:customStyle="1" w:styleId="36">
    <w:name w:val="UserStyle_3"/>
    <w:basedOn w:val="1"/>
    <w:link w:val="35"/>
    <w:qFormat/>
    <w:uiPriority w:val="0"/>
    <w:pPr>
      <w:spacing w:after="160" w:line="240" w:lineRule="exact"/>
      <w:jc w:val="left"/>
    </w:pPr>
    <w:rPr>
      <w:b/>
      <w:sz w:val="32"/>
    </w:rPr>
  </w:style>
  <w:style w:type="table" w:customStyle="1" w:styleId="37">
    <w:name w:val="TableNormal"/>
    <w:qFormat/>
    <w:uiPriority w:val="0"/>
    <w:tblPr>
      <w:tblCellMar>
        <w:top w:w="0" w:type="dxa"/>
        <w:left w:w="0" w:type="dxa"/>
        <w:bottom w:w="0" w:type="dxa"/>
        <w:right w:w="0" w:type="dxa"/>
      </w:tblCellMar>
    </w:tblPr>
  </w:style>
  <w:style w:type="character" w:customStyle="1" w:styleId="38">
    <w:name w:val="UserStyle_0"/>
    <w:link w:val="34"/>
    <w:qFormat/>
    <w:uiPriority w:val="0"/>
    <w:rPr>
      <w:rFonts w:eastAsia="宋体" w:cs="Times New Roman"/>
      <w:b/>
      <w:bCs/>
      <w:kern w:val="2"/>
      <w:sz w:val="32"/>
      <w:szCs w:val="32"/>
      <w:lang w:val="en-US" w:eastAsia="zh-CN" w:bidi="ar-SA"/>
    </w:rPr>
  </w:style>
  <w:style w:type="character" w:customStyle="1" w:styleId="39">
    <w:name w:val="UserStyle_1"/>
    <w:link w:val="40"/>
    <w:qFormat/>
    <w:uiPriority w:val="0"/>
    <w:rPr>
      <w:rFonts w:eastAsia="宋体"/>
      <w:kern w:val="2"/>
      <w:sz w:val="21"/>
      <w:lang w:val="en-US" w:eastAsia="zh-CN" w:bidi="ar-SA"/>
    </w:rPr>
  </w:style>
  <w:style w:type="paragraph" w:customStyle="1" w:styleId="40">
    <w:name w:val="NormalIndent"/>
    <w:basedOn w:val="1"/>
    <w:link w:val="39"/>
    <w:qFormat/>
    <w:uiPriority w:val="0"/>
    <w:pPr>
      <w:ind w:firstLine="420"/>
    </w:pPr>
  </w:style>
  <w:style w:type="character" w:customStyle="1" w:styleId="41">
    <w:name w:val="UserStyle_2"/>
    <w:link w:val="42"/>
    <w:qFormat/>
    <w:uiPriority w:val="0"/>
    <w:rPr>
      <w:rFonts w:eastAsia="宋体"/>
      <w:kern w:val="2"/>
      <w:sz w:val="21"/>
      <w:lang w:val="en-US" w:eastAsia="zh-CN" w:bidi="ar-SA"/>
    </w:rPr>
  </w:style>
  <w:style w:type="paragraph" w:customStyle="1" w:styleId="42">
    <w:name w:val="179"/>
    <w:basedOn w:val="1"/>
    <w:link w:val="41"/>
    <w:qFormat/>
    <w:uiPriority w:val="0"/>
    <w:pPr>
      <w:ind w:firstLine="420" w:firstLineChars="200"/>
    </w:pPr>
  </w:style>
  <w:style w:type="paragraph" w:customStyle="1" w:styleId="43">
    <w:name w:val="Acetate"/>
    <w:basedOn w:val="1"/>
    <w:semiHidden/>
    <w:qFormat/>
    <w:uiPriority w:val="0"/>
    <w:rPr>
      <w:sz w:val="18"/>
      <w:szCs w:val="18"/>
    </w:rPr>
  </w:style>
  <w:style w:type="paragraph" w:customStyle="1" w:styleId="44">
    <w:name w:val="UserStyle_4"/>
    <w:basedOn w:val="1"/>
    <w:qFormat/>
    <w:uiPriority w:val="0"/>
    <w:rPr>
      <w:rFonts w:ascii="Tahoma" w:hAnsi="Tahoma"/>
      <w:sz w:val="24"/>
    </w:rPr>
  </w:style>
  <w:style w:type="table" w:customStyle="1" w:styleId="45">
    <w:name w:val="TableGrid"/>
    <w:basedOn w:val="37"/>
    <w:qFormat/>
    <w:uiPriority w:val="0"/>
  </w:style>
  <w:style w:type="character" w:customStyle="1" w:styleId="46">
    <w:name w:val="页眉 字符"/>
    <w:basedOn w:val="31"/>
    <w:link w:val="21"/>
    <w:qFormat/>
    <w:uiPriority w:val="99"/>
    <w:rPr>
      <w:kern w:val="2"/>
      <w:sz w:val="18"/>
      <w:szCs w:val="18"/>
    </w:rPr>
  </w:style>
  <w:style w:type="character" w:customStyle="1" w:styleId="47">
    <w:name w:val="页脚 字符"/>
    <w:basedOn w:val="31"/>
    <w:link w:val="20"/>
    <w:qFormat/>
    <w:uiPriority w:val="99"/>
    <w:rPr>
      <w:kern w:val="2"/>
      <w:sz w:val="18"/>
      <w:szCs w:val="18"/>
    </w:rPr>
  </w:style>
  <w:style w:type="character" w:customStyle="1" w:styleId="48">
    <w:name w:val="批注文字 字符"/>
    <w:basedOn w:val="31"/>
    <w:link w:val="13"/>
    <w:qFormat/>
    <w:uiPriority w:val="99"/>
    <w:rPr>
      <w:rFonts w:ascii="Times New Roman" w:hAnsi="Times New Roman" w:cstheme="minorBidi"/>
      <w:kern w:val="2"/>
      <w:sz w:val="21"/>
    </w:rPr>
  </w:style>
  <w:style w:type="character" w:customStyle="1" w:styleId="49">
    <w:name w:val="批注主题 字符"/>
    <w:basedOn w:val="48"/>
    <w:link w:val="26"/>
    <w:qFormat/>
    <w:uiPriority w:val="99"/>
    <w:rPr>
      <w:rFonts w:ascii="Times New Roman" w:hAnsi="Times New Roman" w:cstheme="minorBidi"/>
      <w:b/>
      <w:bCs/>
      <w:kern w:val="2"/>
      <w:sz w:val="21"/>
    </w:rPr>
  </w:style>
  <w:style w:type="paragraph" w:customStyle="1" w:styleId="50">
    <w:name w:val="Char1 Char Char Char"/>
    <w:basedOn w:val="1"/>
    <w:qFormat/>
    <w:uiPriority w:val="0"/>
    <w:pPr>
      <w:widowControl w:val="0"/>
      <w:adjustRightInd w:val="0"/>
      <w:spacing w:line="360" w:lineRule="auto"/>
    </w:pPr>
    <w:rPr>
      <w:rFonts w:ascii="Calibri" w:hAnsi="Calibri" w:cs="Times New Roman"/>
      <w:szCs w:val="24"/>
    </w:rPr>
  </w:style>
  <w:style w:type="paragraph" w:styleId="51">
    <w:name w:val="List Paragraph"/>
    <w:basedOn w:val="1"/>
    <w:link w:val="52"/>
    <w:qFormat/>
    <w:uiPriority w:val="34"/>
    <w:pPr>
      <w:ind w:firstLine="420" w:firstLineChars="200"/>
    </w:pPr>
  </w:style>
  <w:style w:type="character" w:customStyle="1" w:styleId="52">
    <w:name w:val="列表段落 字符"/>
    <w:link w:val="51"/>
    <w:qFormat/>
    <w:uiPriority w:val="34"/>
    <w:rPr>
      <w:rFonts w:ascii="Times New Roman" w:hAnsi="Times New Roman" w:cstheme="minorBidi"/>
      <w:kern w:val="2"/>
      <w:sz w:val="21"/>
    </w:rPr>
  </w:style>
  <w:style w:type="character" w:customStyle="1" w:styleId="53">
    <w:name w:val="标题 2 字符"/>
    <w:basedOn w:val="31"/>
    <w:link w:val="4"/>
    <w:qFormat/>
    <w:uiPriority w:val="0"/>
    <w:rPr>
      <w:rFonts w:asciiTheme="majorHAnsi" w:hAnsiTheme="majorHAnsi" w:eastAsiaTheme="majorEastAsia" w:cstheme="majorBidi"/>
      <w:b/>
      <w:bCs/>
      <w:kern w:val="2"/>
      <w:sz w:val="32"/>
      <w:szCs w:val="32"/>
    </w:rPr>
  </w:style>
  <w:style w:type="paragraph" w:customStyle="1" w:styleId="54">
    <w:name w:val="正文（首行缩进2字符）"/>
    <w:basedOn w:val="1"/>
    <w:link w:val="55"/>
    <w:qFormat/>
    <w:uiPriority w:val="0"/>
    <w:pPr>
      <w:widowControl w:val="0"/>
      <w:spacing w:line="360" w:lineRule="auto"/>
      <w:ind w:firstLine="480" w:firstLineChars="200"/>
    </w:pPr>
    <w:rPr>
      <w:rFonts w:cs="Times New Roman"/>
      <w:sz w:val="24"/>
      <w:szCs w:val="24"/>
    </w:rPr>
  </w:style>
  <w:style w:type="character" w:customStyle="1" w:styleId="55">
    <w:name w:val="正文（首行缩进2字符） Char"/>
    <w:basedOn w:val="31"/>
    <w:link w:val="54"/>
    <w:qFormat/>
    <w:uiPriority w:val="0"/>
    <w:rPr>
      <w:rFonts w:ascii="Times New Roman" w:hAnsi="Times New Roman"/>
      <w:kern w:val="2"/>
      <w:sz w:val="24"/>
      <w:szCs w:val="24"/>
    </w:rPr>
  </w:style>
  <w:style w:type="character" w:customStyle="1" w:styleId="56">
    <w:name w:val="标题 4 字符"/>
    <w:basedOn w:val="31"/>
    <w:link w:val="6"/>
    <w:qFormat/>
    <w:uiPriority w:val="0"/>
    <w:rPr>
      <w:rFonts w:ascii="Times New Roman" w:hAnsi="Times New Roman"/>
      <w:b/>
      <w:bCs/>
      <w:kern w:val="2"/>
      <w:sz w:val="28"/>
      <w:szCs w:val="28"/>
    </w:rPr>
  </w:style>
  <w:style w:type="character" w:customStyle="1" w:styleId="57">
    <w:name w:val="标题 5 字符"/>
    <w:basedOn w:val="31"/>
    <w:link w:val="7"/>
    <w:qFormat/>
    <w:uiPriority w:val="0"/>
    <w:rPr>
      <w:rFonts w:ascii="Times New Roman" w:hAnsi="Times New Roman"/>
      <w:b/>
      <w:bCs/>
      <w:kern w:val="2"/>
      <w:sz w:val="28"/>
      <w:szCs w:val="28"/>
    </w:rPr>
  </w:style>
  <w:style w:type="character" w:customStyle="1" w:styleId="58">
    <w:name w:val="标题 6 字符"/>
    <w:basedOn w:val="31"/>
    <w:link w:val="8"/>
    <w:qFormat/>
    <w:uiPriority w:val="0"/>
    <w:rPr>
      <w:rFonts w:ascii="Arial" w:hAnsi="Arial" w:eastAsia="黑体"/>
      <w:b/>
      <w:bCs/>
      <w:kern w:val="2"/>
      <w:sz w:val="24"/>
      <w:szCs w:val="24"/>
    </w:rPr>
  </w:style>
  <w:style w:type="character" w:customStyle="1" w:styleId="59">
    <w:name w:val="标题 7 字符"/>
    <w:basedOn w:val="31"/>
    <w:link w:val="9"/>
    <w:qFormat/>
    <w:uiPriority w:val="0"/>
    <w:rPr>
      <w:rFonts w:ascii="Times New Roman" w:hAnsi="Times New Roman"/>
      <w:b/>
      <w:bCs/>
      <w:kern w:val="2"/>
      <w:sz w:val="24"/>
      <w:szCs w:val="24"/>
    </w:rPr>
  </w:style>
  <w:style w:type="character" w:customStyle="1" w:styleId="60">
    <w:name w:val="标题 8 字符"/>
    <w:basedOn w:val="31"/>
    <w:link w:val="10"/>
    <w:qFormat/>
    <w:uiPriority w:val="0"/>
    <w:rPr>
      <w:rFonts w:ascii="Arial" w:hAnsi="Arial" w:eastAsia="黑体"/>
      <w:kern w:val="2"/>
      <w:sz w:val="24"/>
      <w:szCs w:val="24"/>
    </w:rPr>
  </w:style>
  <w:style w:type="character" w:customStyle="1" w:styleId="61">
    <w:name w:val="标题 9 字符"/>
    <w:basedOn w:val="31"/>
    <w:link w:val="11"/>
    <w:qFormat/>
    <w:uiPriority w:val="0"/>
    <w:rPr>
      <w:rFonts w:ascii="Arial" w:hAnsi="Arial" w:eastAsia="黑体"/>
      <w:kern w:val="2"/>
      <w:sz w:val="21"/>
      <w:szCs w:val="21"/>
    </w:rPr>
  </w:style>
  <w:style w:type="character" w:customStyle="1" w:styleId="62">
    <w:name w:val="标题 1 字符"/>
    <w:basedOn w:val="31"/>
    <w:link w:val="2"/>
    <w:qFormat/>
    <w:uiPriority w:val="0"/>
    <w:rPr>
      <w:rFonts w:ascii="Times New Roman" w:hAnsi="Times New Roman" w:cstheme="minorBidi"/>
      <w:b/>
      <w:bCs/>
      <w:kern w:val="44"/>
      <w:sz w:val="44"/>
      <w:szCs w:val="44"/>
    </w:rPr>
  </w:style>
  <w:style w:type="character" w:customStyle="1" w:styleId="63">
    <w:name w:val="标题 3 字符"/>
    <w:basedOn w:val="31"/>
    <w:link w:val="5"/>
    <w:qFormat/>
    <w:uiPriority w:val="0"/>
    <w:rPr>
      <w:rFonts w:ascii="Times New Roman" w:hAnsi="Times New Roman" w:cstheme="minorBidi"/>
      <w:b/>
      <w:bCs/>
      <w:kern w:val="2"/>
      <w:sz w:val="32"/>
      <w:szCs w:val="32"/>
    </w:rPr>
  </w:style>
  <w:style w:type="paragraph" w:customStyle="1" w:styleId="64">
    <w:name w:val="TOC Heading"/>
    <w:basedOn w:val="2"/>
    <w:next w:val="1"/>
    <w:unhideWhenUsed/>
    <w:qFormat/>
    <w:uiPriority w:val="39"/>
    <w:pPr>
      <w:spacing w:before="240" w:after="0" w:line="259" w:lineRule="auto"/>
      <w:jc w:val="left"/>
      <w:outlineLvl w:val="9"/>
    </w:pPr>
    <w:rPr>
      <w:rFonts w:asciiTheme="majorHAnsi" w:hAnsiTheme="majorHAnsi" w:eastAsiaTheme="majorEastAsia" w:cstheme="majorBidi"/>
      <w:b w:val="0"/>
      <w:bCs w:val="0"/>
      <w:color w:val="376092" w:themeColor="accent1" w:themeShade="BF"/>
      <w:kern w:val="0"/>
      <w:sz w:val="32"/>
      <w:szCs w:val="32"/>
    </w:rPr>
  </w:style>
  <w:style w:type="paragraph" w:customStyle="1" w:styleId="65">
    <w:name w:val="p0"/>
    <w:basedOn w:val="1"/>
    <w:qFormat/>
    <w:uiPriority w:val="0"/>
    <w:rPr>
      <w:rFonts w:cs="Times New Roman"/>
      <w:kern w:val="0"/>
      <w:szCs w:val="21"/>
    </w:rPr>
  </w:style>
  <w:style w:type="paragraph" w:customStyle="1" w:styleId="66">
    <w:name w:val="标书正文:  0.74 厘米"/>
    <w:basedOn w:val="1"/>
    <w:link w:val="67"/>
    <w:qFormat/>
    <w:uiPriority w:val="0"/>
    <w:pPr>
      <w:widowControl w:val="0"/>
      <w:snapToGrid w:val="0"/>
      <w:spacing w:line="360" w:lineRule="auto"/>
      <w:ind w:firstLine="420"/>
    </w:pPr>
    <w:rPr>
      <w:rFonts w:cs="宋体"/>
      <w:sz w:val="24"/>
    </w:rPr>
  </w:style>
  <w:style w:type="character" w:customStyle="1" w:styleId="67">
    <w:name w:val="标书正文:  0.74 厘米 Char"/>
    <w:basedOn w:val="31"/>
    <w:link w:val="66"/>
    <w:qFormat/>
    <w:uiPriority w:val="0"/>
    <w:rPr>
      <w:rFonts w:ascii="Times New Roman" w:hAnsi="Times New Roman" w:cs="宋体"/>
      <w:kern w:val="2"/>
      <w:sz w:val="24"/>
    </w:rPr>
  </w:style>
  <w:style w:type="character" w:customStyle="1" w:styleId="68">
    <w:name w:val="批注框文本 字符"/>
    <w:basedOn w:val="31"/>
    <w:link w:val="19"/>
    <w:qFormat/>
    <w:uiPriority w:val="99"/>
    <w:rPr>
      <w:rFonts w:ascii="Times New Roman" w:hAnsi="Times New Roman"/>
      <w:kern w:val="2"/>
      <w:sz w:val="18"/>
      <w:szCs w:val="18"/>
    </w:rPr>
  </w:style>
  <w:style w:type="character" w:customStyle="1" w:styleId="69">
    <w:name w:val="正文缩进 字符"/>
    <w:basedOn w:val="31"/>
    <w:link w:val="12"/>
    <w:qFormat/>
    <w:uiPriority w:val="0"/>
    <w:rPr>
      <w:rFonts w:ascii="Times New Roman" w:hAnsi="Times New Roman" w:cstheme="minorBidi"/>
      <w:kern w:val="2"/>
      <w:sz w:val="21"/>
    </w:rPr>
  </w:style>
  <w:style w:type="character" w:customStyle="1" w:styleId="70">
    <w:name w:val="fontstyle01"/>
    <w:basedOn w:val="31"/>
    <w:qFormat/>
    <w:uiPriority w:val="0"/>
    <w:rPr>
      <w:rFonts w:hint="default" w:ascii="GothamRounded-Book" w:hAnsi="GothamRounded-Book"/>
      <w:color w:val="EE8D28"/>
      <w:sz w:val="50"/>
      <w:szCs w:val="50"/>
    </w:rPr>
  </w:style>
  <w:style w:type="character" w:customStyle="1" w:styleId="71">
    <w:name w:val="正文文本缩进 3 字符"/>
    <w:link w:val="24"/>
    <w:qFormat/>
    <w:locked/>
    <w:uiPriority w:val="99"/>
    <w:rPr>
      <w:rFonts w:eastAsia="黑体"/>
      <w:color w:val="000000"/>
      <w:sz w:val="24"/>
      <w:szCs w:val="24"/>
    </w:rPr>
  </w:style>
  <w:style w:type="character" w:customStyle="1" w:styleId="72">
    <w:name w:val="正文文本缩进 2 字符"/>
    <w:link w:val="18"/>
    <w:qFormat/>
    <w:uiPriority w:val="99"/>
    <w:rPr>
      <w:rFonts w:ascii="宋体"/>
      <w:sz w:val="24"/>
    </w:rPr>
  </w:style>
  <w:style w:type="character" w:customStyle="1" w:styleId="73">
    <w:name w:val="正文文本缩进 3 字符1"/>
    <w:basedOn w:val="31"/>
    <w:qFormat/>
    <w:uiPriority w:val="99"/>
    <w:rPr>
      <w:rFonts w:ascii="Times New Roman" w:hAnsi="Times New Roman" w:cstheme="minorBidi"/>
      <w:kern w:val="2"/>
      <w:sz w:val="16"/>
      <w:szCs w:val="16"/>
    </w:rPr>
  </w:style>
  <w:style w:type="character" w:customStyle="1" w:styleId="74">
    <w:name w:val="正文文本缩进 2 字符1"/>
    <w:basedOn w:val="31"/>
    <w:qFormat/>
    <w:uiPriority w:val="99"/>
    <w:rPr>
      <w:rFonts w:ascii="Times New Roman" w:hAnsi="Times New Roman" w:cstheme="minorBidi"/>
      <w:kern w:val="2"/>
      <w:sz w:val="21"/>
    </w:rPr>
  </w:style>
  <w:style w:type="paragraph" w:customStyle="1" w:styleId="75">
    <w:name w:val="列表段落1"/>
    <w:basedOn w:val="1"/>
    <w:qFormat/>
    <w:uiPriority w:val="99"/>
    <w:pPr>
      <w:widowControl w:val="0"/>
      <w:ind w:firstLine="420" w:firstLineChars="200"/>
    </w:pPr>
    <w:rPr>
      <w:rFonts w:ascii="Calibri" w:hAnsi="Calibri" w:cs="Times New Roman"/>
      <w:szCs w:val="24"/>
    </w:rPr>
  </w:style>
  <w:style w:type="paragraph" w:customStyle="1" w:styleId="76">
    <w:name w:val="缺省文本"/>
    <w:basedOn w:val="1"/>
    <w:qFormat/>
    <w:uiPriority w:val="0"/>
    <w:pPr>
      <w:widowControl w:val="0"/>
      <w:autoSpaceDE w:val="0"/>
      <w:autoSpaceDN w:val="0"/>
      <w:adjustRightInd w:val="0"/>
      <w:jc w:val="left"/>
    </w:pPr>
    <w:rPr>
      <w:rFonts w:cs="Times New Roman"/>
      <w:kern w:val="0"/>
      <w:sz w:val="24"/>
      <w:szCs w:val="24"/>
    </w:rPr>
  </w:style>
  <w:style w:type="character" w:customStyle="1" w:styleId="77">
    <w:name w:val="标题 字符"/>
    <w:basedOn w:val="31"/>
    <w:link w:val="3"/>
    <w:qFormat/>
    <w:uiPriority w:val="0"/>
    <w:rPr>
      <w:rFonts w:asciiTheme="majorHAnsi" w:hAnsiTheme="majorHAnsi" w:eastAsiaTheme="majorEastAsia" w:cstheme="majorBidi"/>
      <w:b/>
      <w:bCs/>
      <w:kern w:val="2"/>
      <w:sz w:val="32"/>
      <w:szCs w:val="32"/>
    </w:rPr>
  </w:style>
  <w:style w:type="character" w:customStyle="1" w:styleId="78">
    <w:name w:val="font31"/>
    <w:basedOn w:val="31"/>
    <w:qFormat/>
    <w:uiPriority w:val="0"/>
    <w:rPr>
      <w:rFonts w:hint="eastAsia" w:ascii="宋体" w:hAnsi="宋体" w:eastAsia="宋体" w:cs="宋体"/>
      <w:b/>
      <w:bCs/>
      <w:color w:val="000000"/>
      <w:sz w:val="22"/>
      <w:szCs w:val="22"/>
      <w:u w:val="none"/>
    </w:rPr>
  </w:style>
  <w:style w:type="character" w:customStyle="1" w:styleId="79">
    <w:name w:val="font01"/>
    <w:basedOn w:val="31"/>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21</Pages>
  <Words>2304</Words>
  <Characters>13139</Characters>
  <Lines>109</Lines>
  <Paragraphs>30</Paragraphs>
  <TotalTime>3</TotalTime>
  <ScaleCrop>false</ScaleCrop>
  <LinksUpToDate>false</LinksUpToDate>
  <CharactersWithSpaces>15413</CharactersWithSpaces>
  <Application>WPS Office_11.8.2.10154_F1E327BC-269C-435d-A152-05C5408002CA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2025-03-15T21:45:00Z</dcterms:created>
  <dc:creator>adminstirator</dc:creator>
  <cp:lastModifiedBy>睿睿麻麻</cp:lastModifiedBy>
  <cp:lastPrinted>2026-04-17T05:59:00Z</cp:lastPrinted>
  <dcterms:modified xsi:type="dcterms:W3CDTF">2026-04-22T05:47:32Z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2052-11.8.2.10154</vt:lpwstr>
  </property>
  <property fmtid="{D5CDD505-2E9C-101B-9397-08002B2CF9AE}" pid="3" name="ICV">
    <vt:lpwstr>30DBC8483EBA9AD87CB8CB691052CF09_43</vt:lpwstr>
  </property>
  <property fmtid="{D5CDD505-2E9C-101B-9397-08002B2CF9AE}" pid="4" name="KSOTemplateDocerSaveRecord">
    <vt:lpwstr>eyJoZGlkIjoiY2QxYzVlMjExNDM1ZWEwMjEzMzFjZTZjMTUyZGRhMzYiLCJ1c2VySWQiOiI2OTIzNDIwOTQifQ==</vt:lpwstr>
  </property>
</Properties>
</file>