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97" w:line="480" w:lineRule="exact"/>
        <w:jc w:val="center"/>
        <w:rPr>
          <w:rFonts w:ascii="宋体" w:hAnsi="宋体" w:cs="宋体"/>
          <w:b/>
          <w:bCs/>
          <w:sz w:val="36"/>
          <w:szCs w:val="36"/>
        </w:rPr>
      </w:pPr>
      <w:bookmarkStart w:id="0" w:name="_Toc426555831"/>
      <w:r>
        <w:rPr>
          <w:rFonts w:hint="eastAsia" w:ascii="宋体" w:hAnsi="宋体" w:cs="宋体"/>
          <w:b/>
          <w:bCs/>
          <w:sz w:val="36"/>
          <w:szCs w:val="36"/>
        </w:rPr>
        <w:t>桌面运维及全院打印升级改造服务项目</w:t>
      </w:r>
    </w:p>
    <w:p>
      <w:pPr>
        <w:spacing w:before="97" w:line="480" w:lineRule="exact"/>
        <w:jc w:val="center"/>
        <w:rPr>
          <w:rFonts w:hint="eastAsia" w:ascii="宋体" w:hAnsi="宋体" w:cs="宋体"/>
          <w:b/>
          <w:bCs/>
          <w:sz w:val="36"/>
          <w:szCs w:val="36"/>
        </w:rPr>
      </w:pPr>
      <w:r>
        <w:rPr>
          <w:rFonts w:hint="eastAsia" w:ascii="宋体" w:hAnsi="宋体" w:cs="宋体"/>
          <w:b/>
          <w:bCs/>
          <w:sz w:val="36"/>
          <w:szCs w:val="36"/>
        </w:rPr>
        <w:t>项目需求</w:t>
      </w:r>
    </w:p>
    <w:p>
      <w:pPr>
        <w:spacing w:before="97" w:line="480" w:lineRule="exact"/>
        <w:rPr>
          <w:rFonts w:ascii="宋体" w:hAnsi="宋体" w:cs="宋体"/>
          <w:sz w:val="24"/>
        </w:rPr>
      </w:pPr>
      <w:r>
        <w:rPr>
          <w:rFonts w:hint="eastAsia" w:ascii="宋体" w:hAnsi="宋体" w:cs="宋体"/>
          <w:b/>
          <w:bCs/>
          <w:sz w:val="24"/>
        </w:rPr>
        <w:t>一.项目概述</w:t>
      </w:r>
    </w:p>
    <w:p>
      <w:pPr>
        <w:spacing w:before="97" w:line="480" w:lineRule="exact"/>
        <w:ind w:firstLine="480" w:firstLineChars="200"/>
        <w:rPr>
          <w:rFonts w:ascii="宋体" w:hAnsi="宋体" w:cs="宋体"/>
          <w:sz w:val="24"/>
        </w:rPr>
      </w:pPr>
      <w:r>
        <w:rPr>
          <w:rFonts w:hint="eastAsia" w:ascii="宋体" w:hAnsi="宋体" w:cs="宋体"/>
          <w:sz w:val="24"/>
        </w:rPr>
        <w:t>湖州市第三人民医院各类打印设备共计约600台（包含黑白打印机、彩色打印机、热敏条码打印机、针式打印机、一体机、复合机等）、信息类设备共计约1100台（包含电脑、自助设备、移动医护推车、移动护理终端等），为了满足全院文印及信息类设备等正常运转，积极落实最多跑一次，加快医院信息化、自助化、无纸化的发展,打造节约、环保、智能的现代化医院,提升医院整体形象,降低整体成本、简化服务流程、增加智能报修管理和资产管理等，拟将全院信息类设备的运维服务、全院打印设备升级改造、打印设备替换及打印耗材的配送整体打包交由专业的供应商统一管理，并通过建设自助打印平台的方式实现全院图文报告的自助打印。同时通过完善的信息化手段（运维管理平台）、合理完善科室打印设备布局、专业的驻场人员，来实现服务的全流程闭环管理，营造一个高效、节能、环保的现代化三甲专科医院。</w:t>
      </w:r>
    </w:p>
    <w:p>
      <w:pPr>
        <w:spacing w:before="97" w:line="480" w:lineRule="exact"/>
        <w:rPr>
          <w:rFonts w:ascii="宋体" w:hAnsi="宋体" w:cs="宋体"/>
          <w:b/>
          <w:bCs/>
          <w:sz w:val="24"/>
        </w:rPr>
      </w:pPr>
      <w:r>
        <w:rPr>
          <w:rFonts w:hint="eastAsia" w:ascii="宋体" w:hAnsi="宋体" w:cs="宋体"/>
          <w:b/>
          <w:bCs/>
          <w:sz w:val="24"/>
        </w:rPr>
        <w:t>二.服务内容及要求</w:t>
      </w:r>
    </w:p>
    <w:p>
      <w:pPr>
        <w:spacing w:before="97" w:line="480" w:lineRule="exact"/>
        <w:rPr>
          <w:rFonts w:ascii="宋体" w:hAnsi="宋体" w:cs="宋体"/>
          <w:sz w:val="24"/>
        </w:rPr>
      </w:pPr>
      <w:r>
        <w:rPr>
          <w:rFonts w:hint="eastAsia" w:ascii="宋体" w:hAnsi="宋体" w:cs="宋体"/>
          <w:sz w:val="24"/>
        </w:rPr>
        <w:t>1.整体服务要求</w:t>
      </w:r>
    </w:p>
    <w:p>
      <w:pPr>
        <w:spacing w:before="97" w:line="480" w:lineRule="exact"/>
        <w:ind w:firstLine="480" w:firstLineChars="200"/>
        <w:rPr>
          <w:rFonts w:ascii="宋体" w:hAnsi="宋体" w:cs="宋体"/>
          <w:sz w:val="24"/>
        </w:rPr>
      </w:pPr>
      <w:r>
        <w:rPr>
          <w:rFonts w:hint="eastAsia" w:ascii="宋体" w:hAnsi="宋体" w:cs="宋体"/>
          <w:sz w:val="24"/>
        </w:rPr>
        <w:t>1.1根据信息化的发展构建的智能打印服务,实现全院(如检验、放射、B超、内镜）的图文报告、文件集中处理，所有图文资料统一通过业务服务器存储、匹配、打印、分发。利用优异的自助设备与软件应用,为就诊者提供院内、院外的多方面便捷就医服务。提供满足采购需求的软硬件及相关耗材及现场运营员。</w:t>
      </w:r>
    </w:p>
    <w:p>
      <w:pPr>
        <w:spacing w:before="97" w:line="480" w:lineRule="exact"/>
        <w:ind w:firstLine="480" w:firstLineChars="200"/>
        <w:rPr>
          <w:rFonts w:ascii="宋体" w:hAnsi="宋体" w:cs="宋体"/>
          <w:b/>
          <w:bCs/>
          <w:sz w:val="24"/>
        </w:rPr>
      </w:pPr>
      <w:r>
        <w:rPr>
          <w:rFonts w:hint="eastAsia" w:ascii="宋体" w:hAnsi="宋体" w:cs="宋体"/>
          <w:sz w:val="24"/>
        </w:rPr>
        <w:t>1.2全院信息类终端、自助报告机、打印机日常运维管理、耗材供应(硒鼓、墨盒、色带和碳带）、维修维护和日常巡检工作，供应商须提供驻场人员不少于2人，依靠专业人员对信息类终端设备、打印设备进行维护管理，提供维护服务，以保证湖州市第三人民医院信息类终端及文印系统的正常、稳定运行。服务具体要求如下</w:t>
      </w:r>
      <w:r>
        <w:rPr>
          <w:rFonts w:hint="eastAsia" w:ascii="宋体" w:hAnsi="宋体" w:cs="宋体"/>
          <w:b/>
          <w:bCs/>
          <w:sz w:val="24"/>
        </w:rPr>
        <w:t>：</w:t>
      </w:r>
    </w:p>
    <w:p>
      <w:pPr>
        <w:spacing w:before="97" w:line="480" w:lineRule="exact"/>
        <w:rPr>
          <w:rFonts w:ascii="宋体" w:hAnsi="宋体" w:cs="宋体"/>
          <w:b/>
          <w:bCs/>
          <w:sz w:val="24"/>
        </w:rPr>
      </w:pPr>
      <w:r>
        <w:rPr>
          <w:rFonts w:hint="eastAsia" w:ascii="宋体" w:hAnsi="宋体" w:cs="宋体"/>
          <w:b/>
          <w:bCs/>
          <w:sz w:val="24"/>
        </w:rPr>
        <w:t>（1）打印机设备参数要求</w:t>
      </w:r>
    </w:p>
    <w:p>
      <w:pPr>
        <w:pStyle w:val="34"/>
        <w:spacing w:before="97"/>
        <w:ind w:firstLine="420"/>
      </w:pPr>
      <w:r>
        <w:rPr>
          <w:rFonts w:hint="eastAsia"/>
        </w:rPr>
        <w:t>为满足各科室打印设备的使用需求，同时响应国家“信创”建设要求，供应商所提供备用机要求参数如下，需在投标文件中提供所投设备的详细的品牌型号，并提供产品彩页或官网截图证明其参数的真实性。</w:t>
      </w:r>
    </w:p>
    <w:p>
      <w:pPr>
        <w:pStyle w:val="34"/>
        <w:spacing w:before="97"/>
        <w:ind w:firstLine="420"/>
      </w:pPr>
      <w:r>
        <w:rPr>
          <w:rFonts w:hint="eastAsia"/>
        </w:rPr>
        <w:t>★同时为保障服务过程中的正常使用，需提</w:t>
      </w:r>
      <w:r>
        <w:t>供设备</w:t>
      </w:r>
      <w:r>
        <w:rPr>
          <w:rFonts w:hint="eastAsia"/>
        </w:rPr>
        <w:t>厂商</w:t>
      </w:r>
      <w:r>
        <w:t>针对本项目的质保函；</w:t>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1276"/>
        <w:gridCol w:w="1134"/>
        <w:gridCol w:w="64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846" w:type="dxa"/>
            <w:vAlign w:val="center"/>
          </w:tcPr>
          <w:p>
            <w:pPr>
              <w:spacing w:before="72"/>
              <w:jc w:val="center"/>
              <w:rPr>
                <w:b/>
                <w:bCs/>
              </w:rPr>
            </w:pPr>
            <w:r>
              <w:rPr>
                <w:rFonts w:hint="eastAsia"/>
                <w:b/>
                <w:bCs/>
              </w:rPr>
              <w:t>序号</w:t>
            </w:r>
          </w:p>
        </w:tc>
        <w:tc>
          <w:tcPr>
            <w:tcW w:w="1276" w:type="dxa"/>
            <w:vAlign w:val="center"/>
          </w:tcPr>
          <w:p>
            <w:pPr>
              <w:spacing w:before="72"/>
              <w:jc w:val="center"/>
              <w:rPr>
                <w:b/>
                <w:bCs/>
              </w:rPr>
            </w:pPr>
            <w:r>
              <w:rPr>
                <w:rFonts w:hint="eastAsia"/>
                <w:b/>
                <w:bCs/>
              </w:rPr>
              <w:t>设备类型</w:t>
            </w:r>
          </w:p>
        </w:tc>
        <w:tc>
          <w:tcPr>
            <w:tcW w:w="7614" w:type="dxa"/>
            <w:gridSpan w:val="2"/>
            <w:vAlign w:val="center"/>
          </w:tcPr>
          <w:p>
            <w:pPr>
              <w:spacing w:before="72"/>
              <w:jc w:val="center"/>
              <w:rPr>
                <w:b/>
                <w:bCs/>
              </w:rPr>
            </w:pPr>
            <w:r>
              <w:rPr>
                <w:rFonts w:hint="eastAsia"/>
                <w:b/>
                <w:bCs/>
              </w:rPr>
              <w:t>参数要求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pPr>
              <w:spacing w:before="72"/>
              <w:jc w:val="center"/>
            </w:pPr>
            <w:r>
              <w:rPr>
                <w:rFonts w:hint="eastAsia"/>
              </w:rPr>
              <w:t>1</w:t>
            </w:r>
          </w:p>
        </w:tc>
        <w:tc>
          <w:tcPr>
            <w:tcW w:w="1276" w:type="dxa"/>
            <w:vAlign w:val="center"/>
          </w:tcPr>
          <w:p>
            <w:pPr>
              <w:spacing w:before="72"/>
              <w:jc w:val="center"/>
            </w:pPr>
            <w:r>
              <w:t>黑白激光打印机</w:t>
            </w:r>
          </w:p>
        </w:tc>
        <w:tc>
          <w:tcPr>
            <w:tcW w:w="7614" w:type="dxa"/>
            <w:gridSpan w:val="2"/>
            <w:vAlign w:val="center"/>
          </w:tcPr>
          <w:p>
            <w:pPr>
              <w:spacing w:before="72"/>
            </w:pPr>
            <w:r>
              <w:rPr>
                <w:rFonts w:hint="eastAsia"/>
              </w:rPr>
              <w:t>1.</w:t>
            </w:r>
            <w:r>
              <w:t>最大分辨率</w:t>
            </w:r>
            <w:r>
              <w:rPr>
                <w:rFonts w:hint="eastAsia"/>
              </w:rPr>
              <w:t>：≥</w:t>
            </w:r>
            <w:r>
              <w:t>1200</w:t>
            </w:r>
            <w:r>
              <w:rPr>
                <w:rFonts w:hint="eastAsia"/>
              </w:rPr>
              <w:t>dpi×</w:t>
            </w:r>
            <w:r>
              <w:t>600</w:t>
            </w:r>
            <w:r>
              <w:rPr>
                <w:rFonts w:hint="eastAsia"/>
                <w:kern w:val="0"/>
              </w:rPr>
              <w:t>dpi；</w:t>
            </w:r>
          </w:p>
          <w:p>
            <w:pPr>
              <w:spacing w:before="72"/>
            </w:pPr>
            <w:r>
              <w:rPr>
                <w:rFonts w:hint="eastAsia"/>
              </w:rPr>
              <w:t>★2.</w:t>
            </w:r>
            <w:r>
              <w:t>打印速度</w:t>
            </w:r>
            <w:r>
              <w:rPr>
                <w:rFonts w:hint="eastAsia"/>
              </w:rPr>
              <w:t>（</w:t>
            </w:r>
            <w:r>
              <w:t>A4</w:t>
            </w:r>
            <w:r>
              <w:rPr>
                <w:rFonts w:hint="eastAsia"/>
              </w:rPr>
              <w:t>）：≥</w:t>
            </w:r>
            <w:r>
              <w:t>3</w:t>
            </w:r>
            <w:r>
              <w:rPr>
                <w:rFonts w:hint="eastAsia"/>
              </w:rPr>
              <w:t>1</w:t>
            </w:r>
            <w:r>
              <w:t>ppm</w:t>
            </w:r>
            <w:r>
              <w:rPr>
                <w:rFonts w:hint="eastAsia"/>
              </w:rPr>
              <w:t>；</w:t>
            </w:r>
          </w:p>
          <w:p>
            <w:pPr>
              <w:spacing w:before="72"/>
            </w:pPr>
            <w:r>
              <w:rPr>
                <w:rFonts w:hint="eastAsia"/>
              </w:rPr>
              <w:t>★3.</w:t>
            </w:r>
            <w:r>
              <w:t>首页打印时间</w:t>
            </w:r>
            <w:r>
              <w:rPr>
                <w:rFonts w:hint="eastAsia"/>
              </w:rPr>
              <w:t>：≤</w:t>
            </w:r>
            <w:r>
              <w:t>3.6s</w:t>
            </w:r>
            <w:r>
              <w:rPr>
                <w:rFonts w:hint="eastAsia"/>
              </w:rPr>
              <w:t>；</w:t>
            </w:r>
          </w:p>
          <w:p>
            <w:pPr>
              <w:spacing w:before="72"/>
            </w:pPr>
            <w:r>
              <w:rPr>
                <w:rFonts w:hint="eastAsia"/>
              </w:rPr>
              <w:t>4.</w:t>
            </w:r>
            <w:r>
              <w:t>打印语言</w:t>
            </w:r>
            <w:r>
              <w:rPr>
                <w:rFonts w:hint="eastAsia"/>
              </w:rPr>
              <w:t>：至少包括</w:t>
            </w:r>
            <w:r>
              <w:t>PCL5e、PCL6、PS、PDF</w:t>
            </w:r>
            <w:r>
              <w:rPr>
                <w:rFonts w:hint="eastAsia"/>
              </w:rPr>
              <w:t>；</w:t>
            </w:r>
          </w:p>
          <w:p>
            <w:pPr>
              <w:spacing w:before="72"/>
            </w:pPr>
            <w:r>
              <w:rPr>
                <w:rFonts w:hint="eastAsia"/>
              </w:rPr>
              <w:t>5.</w:t>
            </w:r>
            <w:r>
              <w:t>双面打印</w:t>
            </w:r>
            <w:r>
              <w:rPr>
                <w:rFonts w:hint="eastAsia"/>
              </w:rPr>
              <w:t>：支持</w:t>
            </w:r>
            <w:r>
              <w:t>自动双面</w:t>
            </w:r>
            <w:r>
              <w:rPr>
                <w:rFonts w:hint="eastAsia"/>
              </w:rPr>
              <w:t>；</w:t>
            </w:r>
          </w:p>
          <w:p>
            <w:pPr>
              <w:spacing w:before="72"/>
            </w:pPr>
            <w:r>
              <w:rPr>
                <w:rFonts w:hint="eastAsia"/>
              </w:rPr>
              <w:t>6.</w:t>
            </w:r>
            <w:r>
              <w:t>纸张容量</w:t>
            </w:r>
            <w:r>
              <w:rPr>
                <w:rFonts w:hint="eastAsia"/>
              </w:rPr>
              <w:t>：≥</w:t>
            </w:r>
            <w:r>
              <w:t>250页</w:t>
            </w:r>
            <w:r>
              <w:rPr>
                <w:rFonts w:hint="eastAsia"/>
              </w:rPr>
              <w:t>；</w:t>
            </w:r>
          </w:p>
          <w:p>
            <w:pPr>
              <w:spacing w:before="72"/>
            </w:pPr>
            <w:r>
              <w:rPr>
                <w:rFonts w:hint="eastAsia"/>
              </w:rPr>
              <w:t>7.</w:t>
            </w:r>
            <w:r>
              <w:t>接口类型</w:t>
            </w:r>
            <w:r>
              <w:rPr>
                <w:rFonts w:hint="eastAsia"/>
              </w:rPr>
              <w:t>：支持</w:t>
            </w:r>
            <w:r>
              <w:t>高速USB2.0</w:t>
            </w:r>
            <w:r>
              <w:rPr>
                <w:rFonts w:hint="eastAsia"/>
              </w:rPr>
              <w:t>、</w:t>
            </w:r>
            <w:r>
              <w:t>有线网络</w:t>
            </w:r>
            <w:r>
              <w:rPr>
                <w:rFonts w:hint="eastAsia"/>
              </w:rPr>
              <w:t>；</w:t>
            </w:r>
          </w:p>
          <w:p>
            <w:pPr>
              <w:spacing w:before="72"/>
            </w:pPr>
            <w:r>
              <w:rPr>
                <w:rFonts w:hint="eastAsia"/>
              </w:rPr>
              <w:t>★8.</w:t>
            </w:r>
            <w:r>
              <w:t>操作系统</w:t>
            </w:r>
            <w:r>
              <w:rPr>
                <w:rFonts w:hint="eastAsia"/>
              </w:rPr>
              <w:t>：适配</w:t>
            </w:r>
            <w:r>
              <w:t>国产系统</w:t>
            </w:r>
            <w:r>
              <w:rPr>
                <w:rFonts w:hint="eastAsia"/>
              </w:rPr>
              <w:t>（</w:t>
            </w:r>
            <w:r>
              <w:t>银河麒麟+飞腾、银河麒麟+龙芯、银河麒麟+兆芯、银河麒麟+海光、银河麒麟+鲲鹏；UOS+飞腾、UOS+兆芯、UOS+海光、UOS+鲲鹏、UOS+龙芯</w:t>
            </w:r>
            <w:r>
              <w:rPr>
                <w:rFonts w:hint="eastAsia"/>
              </w:rPr>
              <w:t>）及</w:t>
            </w:r>
            <w:r>
              <w:t>国际通用操作系统</w:t>
            </w:r>
            <w:r>
              <w:rPr>
                <w:rFonts w:hint="eastAsia"/>
              </w:rPr>
              <w:t>（</w:t>
            </w:r>
            <w:r>
              <w:t>Windows Server2003/Server2008/Server2012/Server 2016/xP/Vista/Win7 /Win8/Win8.1/Win 10(32/64bit)</w:t>
            </w:r>
            <w:r>
              <w:rPr>
                <w:rFonts w:hint="eastAsia"/>
              </w:rPr>
              <w:t>）；</w:t>
            </w:r>
          </w:p>
          <w:p>
            <w:pPr>
              <w:spacing w:before="72"/>
            </w:pPr>
            <w:r>
              <w:rPr>
                <w:rFonts w:hint="eastAsia"/>
              </w:rPr>
              <w:t>9.其他：</w:t>
            </w:r>
            <w:r>
              <w:t>国产品牌</w:t>
            </w:r>
            <w:r>
              <w:rPr>
                <w:rFonts w:hint="eastAsia"/>
              </w:rPr>
              <w:t>，</w:t>
            </w:r>
            <w:r>
              <w:t>国产自研芯片</w:t>
            </w:r>
            <w:r>
              <w:rPr>
                <w:rFonts w:hint="eastAsia"/>
              </w:rPr>
              <w:t>，</w:t>
            </w:r>
            <w:r>
              <w:t>产品有CCC、节能、十环认证证书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pPr>
              <w:spacing w:before="72"/>
              <w:jc w:val="center"/>
            </w:pPr>
            <w:r>
              <w:rPr>
                <w:rFonts w:hint="eastAsia"/>
              </w:rPr>
              <w:t>2</w:t>
            </w:r>
          </w:p>
        </w:tc>
        <w:tc>
          <w:tcPr>
            <w:tcW w:w="1276" w:type="dxa"/>
            <w:vAlign w:val="center"/>
          </w:tcPr>
          <w:p>
            <w:pPr>
              <w:spacing w:before="72"/>
              <w:jc w:val="center"/>
            </w:pPr>
            <w:r>
              <w:rPr>
                <w:rFonts w:hint="eastAsia"/>
              </w:rPr>
              <w:t>黑白喷墨打印机</w:t>
            </w:r>
          </w:p>
        </w:tc>
        <w:tc>
          <w:tcPr>
            <w:tcW w:w="7614" w:type="dxa"/>
            <w:gridSpan w:val="2"/>
            <w:vAlign w:val="center"/>
          </w:tcPr>
          <w:p>
            <w:pPr>
              <w:spacing w:before="72"/>
            </w:pPr>
            <w:r>
              <w:rPr>
                <w:rFonts w:hint="eastAsia"/>
              </w:rPr>
              <w:t>1.</w:t>
            </w:r>
            <w:r>
              <w:t>最大分辨率</w:t>
            </w:r>
            <w:r>
              <w:rPr>
                <w:rFonts w:hint="eastAsia"/>
              </w:rPr>
              <w:t>：≥</w:t>
            </w:r>
            <w:r>
              <w:t>1200</w:t>
            </w:r>
            <w:r>
              <w:rPr>
                <w:rFonts w:hint="eastAsia"/>
                <w:kern w:val="0"/>
              </w:rPr>
              <w:t>×</w:t>
            </w:r>
            <w:r>
              <w:t>2400dpi</w:t>
            </w:r>
            <w:r>
              <w:rPr>
                <w:rFonts w:hint="eastAsia"/>
              </w:rPr>
              <w:t>；</w:t>
            </w:r>
          </w:p>
          <w:p>
            <w:pPr>
              <w:spacing w:before="72"/>
            </w:pPr>
            <w:r>
              <w:rPr>
                <w:rFonts w:hint="eastAsia"/>
              </w:rPr>
              <w:t>★2.</w:t>
            </w:r>
            <w:r>
              <w:t>打印速度</w:t>
            </w:r>
            <w:r>
              <w:rPr>
                <w:rFonts w:hint="eastAsia"/>
              </w:rPr>
              <w:t>（</w:t>
            </w:r>
            <w:r>
              <w:t>A4</w:t>
            </w:r>
            <w:r>
              <w:rPr>
                <w:rFonts w:hint="eastAsia"/>
              </w:rPr>
              <w:t>）：</w:t>
            </w:r>
            <w:r>
              <w:t>≥3</w:t>
            </w:r>
            <w:r>
              <w:rPr>
                <w:rFonts w:hint="eastAsia"/>
              </w:rPr>
              <w:t>3</w:t>
            </w:r>
            <w:r>
              <w:t>ppm</w:t>
            </w:r>
            <w:r>
              <w:rPr>
                <w:rFonts w:hint="eastAsia"/>
              </w:rPr>
              <w:t>；</w:t>
            </w:r>
          </w:p>
          <w:p>
            <w:pPr>
              <w:spacing w:before="72"/>
            </w:pPr>
            <w:r>
              <w:rPr>
                <w:rFonts w:hint="eastAsia"/>
              </w:rPr>
              <w:t>3.</w:t>
            </w:r>
            <w:r>
              <w:t>首页输出速度</w:t>
            </w:r>
            <w:r>
              <w:rPr>
                <w:rFonts w:hint="eastAsia"/>
              </w:rPr>
              <w:t>：≤8s；</w:t>
            </w:r>
          </w:p>
          <w:p>
            <w:pPr>
              <w:spacing w:before="72"/>
            </w:pPr>
            <w:r>
              <w:rPr>
                <w:rFonts w:hint="eastAsia"/>
              </w:rPr>
              <w:t>★4.耗材印量：</w:t>
            </w:r>
            <w:r>
              <w:t>≥6000页</w:t>
            </w:r>
            <w:r>
              <w:rPr>
                <w:rFonts w:hint="eastAsia"/>
              </w:rPr>
              <w:t>（A4）；</w:t>
            </w:r>
          </w:p>
          <w:p>
            <w:pPr>
              <w:spacing w:before="72"/>
            </w:pPr>
            <w:r>
              <w:t>5.其他：支持打印计数、打印过程中无臭氧等有害物质排放；</w:t>
            </w:r>
          </w:p>
          <w:p>
            <w:pPr>
              <w:spacing w:before="72"/>
            </w:pPr>
            <w:r>
              <w:t>6.根据病案法要求，打印字迹防水、防酒精，打印内容保存30年</w:t>
            </w:r>
            <w:r>
              <w:rPr>
                <w:rFonts w:hint="eastAsia"/>
              </w:rPr>
              <w:t>（</w:t>
            </w:r>
            <w:r>
              <w:t>提供国家办公设备级耗材质量监督检验中心机构证明</w:t>
            </w: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pPr>
              <w:spacing w:before="72"/>
              <w:jc w:val="center"/>
            </w:pPr>
            <w:r>
              <w:rPr>
                <w:rFonts w:hint="eastAsia"/>
              </w:rPr>
              <w:t>3</w:t>
            </w:r>
          </w:p>
        </w:tc>
        <w:tc>
          <w:tcPr>
            <w:tcW w:w="1276" w:type="dxa"/>
            <w:vAlign w:val="center"/>
          </w:tcPr>
          <w:p>
            <w:pPr>
              <w:spacing w:before="72"/>
              <w:jc w:val="center"/>
              <w:rPr>
                <w:rFonts w:cs="宋体"/>
              </w:rPr>
            </w:pPr>
            <w:r>
              <w:rPr>
                <w:rFonts w:hint="eastAsia" w:cs="宋体"/>
              </w:rPr>
              <w:t>黑白一体机</w:t>
            </w:r>
          </w:p>
        </w:tc>
        <w:tc>
          <w:tcPr>
            <w:tcW w:w="7614" w:type="dxa"/>
            <w:gridSpan w:val="2"/>
            <w:vAlign w:val="center"/>
          </w:tcPr>
          <w:p>
            <w:pPr>
              <w:spacing w:before="72"/>
            </w:pPr>
            <w:r>
              <w:rPr>
                <w:rFonts w:hint="eastAsia"/>
              </w:rPr>
              <w:t>1.</w:t>
            </w:r>
            <w:r>
              <w:t>最大分辨率</w:t>
            </w:r>
            <w:r>
              <w:rPr>
                <w:rFonts w:hint="eastAsia"/>
              </w:rPr>
              <w:t>：≥</w:t>
            </w:r>
            <w:r>
              <w:t>1,200</w:t>
            </w:r>
            <w:r>
              <w:rPr>
                <w:rFonts w:hint="eastAsia"/>
                <w:kern w:val="0"/>
              </w:rPr>
              <w:t>×</w:t>
            </w:r>
            <w:r>
              <w:t>2,400dpi</w:t>
            </w:r>
            <w:r>
              <w:rPr>
                <w:rFonts w:hint="eastAsia"/>
              </w:rPr>
              <w:t>；</w:t>
            </w:r>
          </w:p>
          <w:p>
            <w:pPr>
              <w:spacing w:before="72"/>
            </w:pPr>
            <w:r>
              <w:rPr>
                <w:rFonts w:hint="eastAsia"/>
              </w:rPr>
              <w:t>2.</w:t>
            </w:r>
            <w:r>
              <w:t>ADF复印速度</w:t>
            </w:r>
            <w:r>
              <w:rPr>
                <w:rFonts w:hint="eastAsia"/>
              </w:rPr>
              <w:t>：≥</w:t>
            </w:r>
            <w:r>
              <w:t>30页/分钟</w:t>
            </w:r>
            <w:r>
              <w:rPr>
                <w:rFonts w:hint="eastAsia"/>
              </w:rPr>
              <w:t>；</w:t>
            </w:r>
          </w:p>
          <w:p>
            <w:pPr>
              <w:spacing w:before="72"/>
            </w:pPr>
            <w:r>
              <w:rPr>
                <w:rFonts w:hint="eastAsia"/>
              </w:rPr>
              <w:t>★3.打印速度（</w:t>
            </w:r>
            <w:r>
              <w:t>A4</w:t>
            </w:r>
            <w:r>
              <w:rPr>
                <w:rFonts w:hint="eastAsia"/>
              </w:rPr>
              <w:t>）：黑彩同速≥</w:t>
            </w:r>
            <w:r>
              <w:t>34</w:t>
            </w:r>
            <w:r>
              <w:rPr>
                <w:rFonts w:hint="eastAsia"/>
              </w:rPr>
              <w:t>ppm（首页输出≤5s）；</w:t>
            </w:r>
          </w:p>
          <w:p>
            <w:pPr>
              <w:spacing w:before="72"/>
            </w:pPr>
            <w:r>
              <w:rPr>
                <w:rFonts w:hint="eastAsia"/>
              </w:rPr>
              <w:t>4.</w:t>
            </w:r>
            <w:r>
              <w:t>接口</w:t>
            </w:r>
            <w:r>
              <w:rPr>
                <w:rFonts w:hint="eastAsia"/>
              </w:rPr>
              <w:t>网络：支持</w:t>
            </w:r>
            <w:r>
              <w:t>USB接口</w:t>
            </w:r>
            <w:r>
              <w:rPr>
                <w:rFonts w:hint="eastAsia"/>
              </w:rPr>
              <w:t>、有线</w:t>
            </w:r>
            <w:r>
              <w:t>网络接口</w:t>
            </w:r>
            <w:r>
              <w:rPr>
                <w:rFonts w:hint="eastAsia"/>
              </w:rPr>
              <w:t>（</w:t>
            </w:r>
            <w:r>
              <w:t>1000Base-T/100BASE-TX/10BASE-T</w:t>
            </w:r>
            <w:r>
              <w:rPr>
                <w:rFonts w:hint="eastAsia"/>
              </w:rPr>
              <w:t>）、</w:t>
            </w:r>
            <w:r>
              <w:t>无线</w:t>
            </w:r>
            <w:r>
              <w:rPr>
                <w:rFonts w:hint="eastAsia"/>
              </w:rPr>
              <w:t>支持</w:t>
            </w:r>
            <w:r>
              <w:t>Wi-Fi2.4GHz</w:t>
            </w:r>
            <w:r>
              <w:rPr>
                <w:rFonts w:hint="eastAsia"/>
              </w:rPr>
              <w:t>、</w:t>
            </w:r>
            <w:r>
              <w:t>5.0GHz</w:t>
            </w:r>
            <w:r>
              <w:rPr>
                <w:rFonts w:hint="eastAsia"/>
              </w:rPr>
              <w:t>信道，具备</w:t>
            </w:r>
            <w:r>
              <w:t>Wi-Fi Direct</w:t>
            </w:r>
            <w:r>
              <w:rPr>
                <w:rFonts w:hint="eastAsia"/>
              </w:rPr>
              <w:t>功能；</w:t>
            </w:r>
          </w:p>
          <w:p>
            <w:pPr>
              <w:spacing w:before="72"/>
            </w:pPr>
            <w:r>
              <w:rPr>
                <w:rFonts w:hint="eastAsia"/>
              </w:rPr>
              <w:t>★5.打印功率：≤</w:t>
            </w:r>
            <w:r>
              <w:t>2</w:t>
            </w:r>
            <w:r>
              <w:rPr>
                <w:rFonts w:hint="eastAsia"/>
              </w:rPr>
              <w:t>7</w:t>
            </w:r>
            <w:r>
              <w:t>W</w:t>
            </w:r>
            <w:r>
              <w:rPr>
                <w:rFonts w:hint="eastAsia"/>
              </w:rPr>
              <w:t>；</w:t>
            </w:r>
          </w:p>
          <w:p>
            <w:pPr>
              <w:spacing w:before="72"/>
            </w:pPr>
            <w:r>
              <w:rPr>
                <w:rFonts w:hint="eastAsia"/>
              </w:rPr>
              <w:t>6.其他功能：支持</w:t>
            </w:r>
            <w:r>
              <w:t>自动双面打印+扫描</w:t>
            </w:r>
            <w:r>
              <w:rPr>
                <w:rFonts w:hint="eastAsia"/>
              </w:rPr>
              <w:t>，支持</w:t>
            </w:r>
            <w:r>
              <w:t>黑白、彩色传真</w:t>
            </w:r>
            <w:r>
              <w:rPr>
                <w:rFonts w:hint="eastAsia"/>
              </w:rPr>
              <w:t>；</w:t>
            </w:r>
          </w:p>
          <w:p>
            <w:pPr>
              <w:spacing w:before="72"/>
            </w:pPr>
            <w:r>
              <w:rPr>
                <w:rFonts w:hint="eastAsia"/>
              </w:rPr>
              <w:t>★7.耗材印量：</w:t>
            </w:r>
            <w:r>
              <w:t>≥</w:t>
            </w:r>
            <w:r>
              <w:rPr>
                <w:rFonts w:hint="eastAsia"/>
              </w:rPr>
              <w:t>4</w:t>
            </w:r>
            <w:r>
              <w:t>0000页</w:t>
            </w:r>
            <w:r>
              <w:rPr>
                <w:rFonts w:hint="eastAsia"/>
              </w:rPr>
              <w:t>（不接受联供加墨方式）</w:t>
            </w:r>
          </w:p>
          <w:p>
            <w:pPr>
              <w:spacing w:before="72"/>
            </w:pPr>
            <w:r>
              <w:rPr>
                <w:rFonts w:hint="eastAsia"/>
              </w:rPr>
              <w:t>8.纸盒容量：</w:t>
            </w:r>
            <w:r>
              <w:t>标配≥</w:t>
            </w:r>
            <w:r>
              <w:rPr>
                <w:rFonts w:hint="eastAsia"/>
              </w:rPr>
              <w:t>30</w:t>
            </w:r>
            <w:r>
              <w:t>0页纸盒</w:t>
            </w:r>
            <w:r>
              <w:rPr>
                <w:rFonts w:hint="eastAsia"/>
              </w:rPr>
              <w:t>，</w:t>
            </w:r>
            <w:r>
              <w:t>最大进纸</w:t>
            </w:r>
            <w:r>
              <w:rPr>
                <w:rFonts w:hint="eastAsia"/>
                <w:kern w:val="0"/>
              </w:rPr>
              <w:t>≥</w:t>
            </w:r>
            <w:r>
              <w:t>18</w:t>
            </w:r>
            <w:r>
              <w:rPr>
                <w:rFonts w:hint="eastAsia"/>
              </w:rPr>
              <w:t>0</w:t>
            </w:r>
            <w:r>
              <w:t>0页</w:t>
            </w:r>
            <w:r>
              <w:rPr>
                <w:rFonts w:hint="eastAsia"/>
              </w:rPr>
              <w:t>；</w:t>
            </w:r>
          </w:p>
          <w:p>
            <w:pPr>
              <w:spacing w:before="72"/>
            </w:pPr>
            <w:r>
              <w:rPr>
                <w:rFonts w:hint="eastAsia"/>
              </w:rPr>
              <w:t>9.</w:t>
            </w:r>
            <w:r>
              <w:rPr>
                <w:rFonts w:hint="eastAsia"/>
                <w:kern w:val="0"/>
              </w:rPr>
              <w:t>根据病案法要求，打印字迹防水、防酒精，打印内容保存30年（提供国家办公设备级耗材质量监督检验中心机构证明）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pPr>
              <w:spacing w:before="72"/>
              <w:jc w:val="center"/>
            </w:pPr>
            <w:r>
              <w:rPr>
                <w:rFonts w:hint="eastAsia"/>
              </w:rPr>
              <w:t>4</w:t>
            </w:r>
          </w:p>
        </w:tc>
        <w:tc>
          <w:tcPr>
            <w:tcW w:w="1276" w:type="dxa"/>
            <w:vAlign w:val="center"/>
          </w:tcPr>
          <w:p>
            <w:pPr>
              <w:spacing w:before="72"/>
              <w:jc w:val="center"/>
            </w:pPr>
            <w:r>
              <w:rPr>
                <w:rFonts w:hint="eastAsia" w:cs="宋体"/>
                <w:color w:val="000000"/>
              </w:rPr>
              <w:t>彩色打印机</w:t>
            </w:r>
          </w:p>
        </w:tc>
        <w:tc>
          <w:tcPr>
            <w:tcW w:w="7614" w:type="dxa"/>
            <w:gridSpan w:val="2"/>
            <w:vAlign w:val="center"/>
          </w:tcPr>
          <w:p>
            <w:pPr>
              <w:spacing w:before="72"/>
            </w:pPr>
            <w:r>
              <w:rPr>
                <w:rFonts w:hint="eastAsia"/>
              </w:rPr>
              <w:t>1.</w:t>
            </w:r>
            <w:r>
              <w:t>最大分辨率</w:t>
            </w:r>
            <w:r>
              <w:rPr>
                <w:rFonts w:hint="eastAsia"/>
              </w:rPr>
              <w:t>：≥</w:t>
            </w:r>
            <w:r>
              <w:t>4800</w:t>
            </w:r>
            <w:r>
              <w:rPr>
                <w:rFonts w:hint="eastAsia"/>
              </w:rPr>
              <w:t>×</w:t>
            </w:r>
            <w:r>
              <w:t>1200dpi</w:t>
            </w:r>
            <w:r>
              <w:rPr>
                <w:rFonts w:hint="eastAsia"/>
              </w:rPr>
              <w:t>；</w:t>
            </w:r>
          </w:p>
          <w:p>
            <w:pPr>
              <w:spacing w:before="72"/>
            </w:pPr>
            <w:r>
              <w:rPr>
                <w:rFonts w:hint="eastAsia"/>
              </w:rPr>
              <w:t>★2.打印速度（</w:t>
            </w:r>
            <w:r>
              <w:t>A4</w:t>
            </w:r>
            <w:r>
              <w:rPr>
                <w:rFonts w:hint="eastAsia"/>
              </w:rPr>
              <w:t>）：黑彩同速≥34ppm；</w:t>
            </w:r>
          </w:p>
          <w:p>
            <w:pPr>
              <w:spacing w:before="72"/>
            </w:pPr>
            <w:r>
              <w:rPr>
                <w:rFonts w:hint="eastAsia"/>
              </w:rPr>
              <w:t>3.</w:t>
            </w:r>
            <w:r>
              <w:t>接口</w:t>
            </w:r>
            <w:r>
              <w:rPr>
                <w:rFonts w:hint="eastAsia"/>
              </w:rPr>
              <w:t>网络：支持</w:t>
            </w:r>
            <w:r>
              <w:t>USB接口</w:t>
            </w:r>
            <w:r>
              <w:rPr>
                <w:rFonts w:hint="eastAsia"/>
              </w:rPr>
              <w:t>、有线</w:t>
            </w:r>
            <w:r>
              <w:t>网络接口</w:t>
            </w:r>
            <w:r>
              <w:rPr>
                <w:rFonts w:hint="eastAsia"/>
              </w:rPr>
              <w:t>（</w:t>
            </w:r>
            <w:r>
              <w:t>1000Base-T/100BASE-TX/10BASE-T</w:t>
            </w:r>
            <w:r>
              <w:rPr>
                <w:rFonts w:hint="eastAsia"/>
              </w:rPr>
              <w:t>）、</w:t>
            </w:r>
            <w:r>
              <w:t>无线</w:t>
            </w:r>
            <w:r>
              <w:rPr>
                <w:rFonts w:hint="eastAsia"/>
              </w:rPr>
              <w:t>支持</w:t>
            </w:r>
            <w:r>
              <w:t>Wi-Fi2.4GHz</w:t>
            </w:r>
            <w:r>
              <w:rPr>
                <w:rFonts w:hint="eastAsia"/>
              </w:rPr>
              <w:t>、</w:t>
            </w:r>
            <w:r>
              <w:t>5.0GHz</w:t>
            </w:r>
            <w:r>
              <w:rPr>
                <w:rFonts w:hint="eastAsia"/>
              </w:rPr>
              <w:t>信道，具备</w:t>
            </w:r>
            <w:r>
              <w:t>Wi-Fi Direct</w:t>
            </w:r>
            <w:r>
              <w:rPr>
                <w:rFonts w:hint="eastAsia"/>
              </w:rPr>
              <w:t>功能；</w:t>
            </w:r>
          </w:p>
          <w:p>
            <w:pPr>
              <w:spacing w:before="72"/>
            </w:pPr>
            <w:r>
              <w:rPr>
                <w:rFonts w:hint="eastAsia"/>
              </w:rPr>
              <w:t>★4.打印功率：≤</w:t>
            </w:r>
            <w:r>
              <w:t>25W</w:t>
            </w:r>
            <w:r>
              <w:rPr>
                <w:rFonts w:hint="eastAsia"/>
              </w:rPr>
              <w:t>；</w:t>
            </w:r>
          </w:p>
          <w:p>
            <w:pPr>
              <w:spacing w:before="72"/>
            </w:pPr>
            <w:r>
              <w:rPr>
                <w:rFonts w:hint="eastAsia"/>
              </w:rPr>
              <w:t>5.双面打印：支持自动双面打印；</w:t>
            </w:r>
          </w:p>
          <w:p>
            <w:pPr>
              <w:spacing w:before="72"/>
            </w:pPr>
            <w:r>
              <w:rPr>
                <w:rFonts w:hint="eastAsia"/>
              </w:rPr>
              <w:t>★6.耗材印量：</w:t>
            </w:r>
            <w:r>
              <w:t>彩色≥5000页，黑色≥10000页</w:t>
            </w:r>
            <w:r>
              <w:rPr>
                <w:rFonts w:hint="eastAsia"/>
              </w:rPr>
              <w:t>（不接受联供加墨方式）</w:t>
            </w:r>
          </w:p>
          <w:p>
            <w:pPr>
              <w:spacing w:before="72"/>
            </w:pPr>
            <w:r>
              <w:rPr>
                <w:rFonts w:hint="eastAsia"/>
              </w:rPr>
              <w:t>7.纸盒容量：</w:t>
            </w:r>
            <w:r>
              <w:t>标配≥250页纸盒</w:t>
            </w:r>
            <w:r>
              <w:rPr>
                <w:rFonts w:hint="eastAsia"/>
              </w:rPr>
              <w:t>，</w:t>
            </w:r>
            <w:r>
              <w:t>最大进纸</w:t>
            </w:r>
            <w:r>
              <w:rPr>
                <w:rFonts w:hint="eastAsia"/>
                <w:kern w:val="0"/>
              </w:rPr>
              <w:t>≥</w:t>
            </w:r>
            <w:r>
              <w:t>18</w:t>
            </w:r>
            <w:r>
              <w:rPr>
                <w:rFonts w:hint="eastAsia"/>
              </w:rPr>
              <w:t>0</w:t>
            </w:r>
            <w:r>
              <w:t>0页。</w:t>
            </w:r>
          </w:p>
          <w:p>
            <w:pPr>
              <w:spacing w:before="72"/>
              <w:rPr>
                <w:kern w:val="0"/>
              </w:rPr>
            </w:pPr>
            <w:r>
              <w:rPr>
                <w:rFonts w:hint="eastAsia"/>
              </w:rPr>
              <w:t>8.</w:t>
            </w:r>
            <w:r>
              <w:rPr>
                <w:rFonts w:hint="eastAsia"/>
                <w:kern w:val="0"/>
              </w:rPr>
              <w:t>根据病案法要求，打印字迹防水、防酒精，打印内容保存30年（提供国家办公设备级耗材质量监督检验中心机构证明）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pPr>
              <w:spacing w:before="72"/>
              <w:jc w:val="center"/>
            </w:pPr>
            <w:r>
              <w:rPr>
                <w:rFonts w:hint="eastAsia"/>
              </w:rPr>
              <w:t>5</w:t>
            </w:r>
          </w:p>
        </w:tc>
        <w:tc>
          <w:tcPr>
            <w:tcW w:w="1276" w:type="dxa"/>
            <w:vAlign w:val="center"/>
          </w:tcPr>
          <w:p>
            <w:pPr>
              <w:spacing w:before="72"/>
              <w:jc w:val="center"/>
              <w:rPr>
                <w:rFonts w:cs="宋体"/>
                <w:color w:val="000000"/>
              </w:rPr>
            </w:pPr>
            <w:r>
              <w:rPr>
                <w:rFonts w:hint="eastAsia" w:cs="宋体"/>
                <w:color w:val="000000"/>
              </w:rPr>
              <w:t>彩色一体机</w:t>
            </w:r>
          </w:p>
        </w:tc>
        <w:tc>
          <w:tcPr>
            <w:tcW w:w="7614" w:type="dxa"/>
            <w:gridSpan w:val="2"/>
            <w:vAlign w:val="center"/>
          </w:tcPr>
          <w:p>
            <w:pPr>
              <w:spacing w:before="72"/>
            </w:pPr>
            <w:r>
              <w:rPr>
                <w:rFonts w:hint="eastAsia"/>
              </w:rPr>
              <w:t>1.</w:t>
            </w:r>
            <w:r>
              <w:t>最大分辨率</w:t>
            </w:r>
            <w:r>
              <w:rPr>
                <w:rFonts w:hint="eastAsia"/>
              </w:rPr>
              <w:t>：打印≥</w:t>
            </w:r>
            <w:r>
              <w:t>4800</w:t>
            </w:r>
            <w:r>
              <w:rPr>
                <w:rFonts w:hint="eastAsia"/>
              </w:rPr>
              <w:t>×</w:t>
            </w:r>
            <w:r>
              <w:t>1200dpi</w:t>
            </w:r>
            <w:r>
              <w:rPr>
                <w:rFonts w:hint="eastAsia"/>
              </w:rPr>
              <w:t>；</w:t>
            </w:r>
            <w:r>
              <w:t>复印</w:t>
            </w:r>
            <w:r>
              <w:rPr>
                <w:rFonts w:hint="eastAsia"/>
              </w:rPr>
              <w:t>≥</w:t>
            </w:r>
            <w:r>
              <w:t>600</w:t>
            </w:r>
            <w:r>
              <w:rPr>
                <w:rFonts w:hint="eastAsia"/>
              </w:rPr>
              <w:t>×</w:t>
            </w:r>
            <w:r>
              <w:t>600dpi</w:t>
            </w:r>
            <w:r>
              <w:rPr>
                <w:rFonts w:hint="eastAsia"/>
              </w:rPr>
              <w:t>；扫描≥</w:t>
            </w:r>
            <w:r>
              <w:t>1200</w:t>
            </w:r>
            <w:r>
              <w:rPr>
                <w:rFonts w:hint="eastAsia"/>
                <w:kern w:val="0"/>
              </w:rPr>
              <w:t>×</w:t>
            </w:r>
            <w:r>
              <w:t>2400dpi</w:t>
            </w:r>
          </w:p>
          <w:p>
            <w:pPr>
              <w:spacing w:before="72"/>
            </w:pPr>
            <w:r>
              <w:rPr>
                <w:rFonts w:hint="eastAsia"/>
              </w:rPr>
              <w:t>2.</w:t>
            </w:r>
            <w:r>
              <w:t>ADF复印速度</w:t>
            </w:r>
            <w:r>
              <w:rPr>
                <w:rFonts w:hint="eastAsia"/>
              </w:rPr>
              <w:t>：≥</w:t>
            </w:r>
            <w:r>
              <w:t>22页/分钟</w:t>
            </w:r>
          </w:p>
          <w:p>
            <w:pPr>
              <w:spacing w:before="72"/>
            </w:pPr>
            <w:r>
              <w:rPr>
                <w:rFonts w:hint="eastAsia"/>
              </w:rPr>
              <w:t>★3.打印速度（</w:t>
            </w:r>
            <w:r>
              <w:t>A4</w:t>
            </w:r>
            <w:r>
              <w:rPr>
                <w:rFonts w:hint="eastAsia"/>
              </w:rPr>
              <w:t>）：黑彩同速≥34ppm；</w:t>
            </w:r>
          </w:p>
          <w:p>
            <w:pPr>
              <w:spacing w:before="72"/>
            </w:pPr>
            <w:r>
              <w:rPr>
                <w:rFonts w:hint="eastAsia"/>
              </w:rPr>
              <w:t>4.</w:t>
            </w:r>
            <w:r>
              <w:t>接口</w:t>
            </w:r>
            <w:r>
              <w:rPr>
                <w:rFonts w:hint="eastAsia"/>
              </w:rPr>
              <w:t>网络：支持</w:t>
            </w:r>
            <w:r>
              <w:t>USB接口</w:t>
            </w:r>
            <w:r>
              <w:rPr>
                <w:rFonts w:hint="eastAsia"/>
              </w:rPr>
              <w:t>、有线</w:t>
            </w:r>
            <w:r>
              <w:t>网络接口</w:t>
            </w:r>
            <w:r>
              <w:rPr>
                <w:rFonts w:hint="eastAsia"/>
              </w:rPr>
              <w:t>（</w:t>
            </w:r>
            <w:r>
              <w:t>1000Base-T/100BASE-TX/10BASE-T</w:t>
            </w:r>
            <w:r>
              <w:rPr>
                <w:rFonts w:hint="eastAsia"/>
              </w:rPr>
              <w:t>）、</w:t>
            </w:r>
            <w:r>
              <w:t>无线</w:t>
            </w:r>
            <w:r>
              <w:rPr>
                <w:rFonts w:hint="eastAsia"/>
              </w:rPr>
              <w:t>支持</w:t>
            </w:r>
            <w:r>
              <w:t>Wi-Fi2.4GHz</w:t>
            </w:r>
            <w:r>
              <w:rPr>
                <w:rFonts w:hint="eastAsia"/>
              </w:rPr>
              <w:t>、</w:t>
            </w:r>
            <w:r>
              <w:t>5.0GHz</w:t>
            </w:r>
            <w:r>
              <w:rPr>
                <w:rFonts w:hint="eastAsia"/>
              </w:rPr>
              <w:t>信道，具备</w:t>
            </w:r>
            <w:r>
              <w:t>Wi-Fi Direct</w:t>
            </w:r>
            <w:r>
              <w:rPr>
                <w:rFonts w:hint="eastAsia"/>
              </w:rPr>
              <w:t>功能；</w:t>
            </w:r>
          </w:p>
          <w:p>
            <w:pPr>
              <w:spacing w:before="72"/>
            </w:pPr>
            <w:r>
              <w:rPr>
                <w:rFonts w:hint="eastAsia"/>
              </w:rPr>
              <w:t>★5.打印功率：≤</w:t>
            </w:r>
            <w:r>
              <w:t>2</w:t>
            </w:r>
            <w:r>
              <w:rPr>
                <w:rFonts w:hint="eastAsia"/>
              </w:rPr>
              <w:t>7</w:t>
            </w:r>
            <w:r>
              <w:t>W</w:t>
            </w:r>
            <w:r>
              <w:rPr>
                <w:rFonts w:hint="eastAsia"/>
              </w:rPr>
              <w:t>；</w:t>
            </w:r>
          </w:p>
          <w:p>
            <w:pPr>
              <w:spacing w:before="72"/>
            </w:pPr>
            <w:r>
              <w:rPr>
                <w:rFonts w:hint="eastAsia"/>
              </w:rPr>
              <w:t>6.其他功能：支持</w:t>
            </w:r>
            <w:r>
              <w:t>自动双面打印+扫描</w:t>
            </w:r>
            <w:r>
              <w:rPr>
                <w:rFonts w:hint="eastAsia"/>
              </w:rPr>
              <w:t>，支持</w:t>
            </w:r>
            <w:r>
              <w:t>黑白、彩色传真</w:t>
            </w:r>
            <w:r>
              <w:rPr>
                <w:rFonts w:hint="eastAsia"/>
              </w:rPr>
              <w:t>；</w:t>
            </w:r>
          </w:p>
          <w:p>
            <w:pPr>
              <w:spacing w:before="72"/>
            </w:pPr>
            <w:r>
              <w:rPr>
                <w:rFonts w:hint="eastAsia"/>
              </w:rPr>
              <w:t>★7.耗材印量：</w:t>
            </w:r>
            <w:r>
              <w:t>彩色≥5000页，黑色≥10000页</w:t>
            </w:r>
            <w:r>
              <w:rPr>
                <w:rFonts w:hint="eastAsia"/>
              </w:rPr>
              <w:t>（不接受联供加墨方式）</w:t>
            </w:r>
          </w:p>
          <w:p>
            <w:pPr>
              <w:spacing w:before="72"/>
            </w:pPr>
            <w:r>
              <w:rPr>
                <w:rFonts w:hint="eastAsia"/>
              </w:rPr>
              <w:t>8.纸盒容量：</w:t>
            </w:r>
            <w:r>
              <w:t>标配≥250页纸盒</w:t>
            </w:r>
            <w:r>
              <w:rPr>
                <w:rFonts w:hint="eastAsia"/>
              </w:rPr>
              <w:t>，</w:t>
            </w:r>
            <w:r>
              <w:t>最大进纸</w:t>
            </w:r>
            <w:r>
              <w:rPr>
                <w:rFonts w:hint="eastAsia"/>
                <w:kern w:val="0"/>
              </w:rPr>
              <w:t>≥</w:t>
            </w:r>
            <w:r>
              <w:t>18</w:t>
            </w:r>
            <w:r>
              <w:rPr>
                <w:rFonts w:hint="eastAsia"/>
              </w:rPr>
              <w:t>0</w:t>
            </w:r>
            <w:r>
              <w:t>0页。</w:t>
            </w:r>
          </w:p>
          <w:p>
            <w:pPr>
              <w:spacing w:before="72"/>
            </w:pPr>
            <w:r>
              <w:rPr>
                <w:rFonts w:hint="eastAsia"/>
              </w:rPr>
              <w:t>9.</w:t>
            </w:r>
            <w:r>
              <w:rPr>
                <w:rFonts w:hint="eastAsia"/>
                <w:kern w:val="0"/>
              </w:rPr>
              <w:t>根据病案法要求，打印字迹防水、防酒精，打印内容保存30年（提供国家办公设备级耗材质量监督检验中心机构证明）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pPr>
              <w:spacing w:before="72"/>
              <w:jc w:val="center"/>
            </w:pPr>
            <w:r>
              <w:rPr>
                <w:rFonts w:hint="eastAsia"/>
              </w:rPr>
              <w:t>6</w:t>
            </w:r>
          </w:p>
        </w:tc>
        <w:tc>
          <w:tcPr>
            <w:tcW w:w="1276" w:type="dxa"/>
            <w:vAlign w:val="center"/>
          </w:tcPr>
          <w:p>
            <w:pPr>
              <w:spacing w:before="72"/>
              <w:jc w:val="center"/>
              <w:rPr>
                <w:rFonts w:cs="宋体"/>
                <w:color w:val="000000"/>
              </w:rPr>
            </w:pPr>
            <w:r>
              <w:rPr>
                <w:rFonts w:hint="eastAsia" w:cs="宋体"/>
                <w:color w:val="000000"/>
              </w:rPr>
              <w:t>条码打印机</w:t>
            </w:r>
          </w:p>
        </w:tc>
        <w:tc>
          <w:tcPr>
            <w:tcW w:w="7614" w:type="dxa"/>
            <w:gridSpan w:val="2"/>
            <w:vAlign w:val="center"/>
          </w:tcPr>
          <w:p>
            <w:pPr>
              <w:spacing w:before="72"/>
            </w:pPr>
            <w:r>
              <w:rPr>
                <w:rFonts w:hint="eastAsia"/>
              </w:rPr>
              <w:t>1.</w:t>
            </w:r>
            <w:r>
              <w:t>打印方式</w:t>
            </w:r>
            <w:r>
              <w:rPr>
                <w:rFonts w:hint="eastAsia"/>
              </w:rPr>
              <w:t>：</w:t>
            </w:r>
            <w:r>
              <w:t>热敏及热转印</w:t>
            </w:r>
          </w:p>
          <w:p>
            <w:pPr>
              <w:spacing w:before="72"/>
            </w:pPr>
            <w:r>
              <w:rPr>
                <w:rFonts w:hint="eastAsia"/>
              </w:rPr>
              <w:t>2.</w:t>
            </w:r>
            <w:r>
              <w:t>字符集</w:t>
            </w:r>
            <w:r>
              <w:rPr>
                <w:rFonts w:hint="eastAsia"/>
              </w:rPr>
              <w:t>：至少支持</w:t>
            </w:r>
            <w:r>
              <w:t>中文GB18030</w:t>
            </w:r>
          </w:p>
          <w:p>
            <w:pPr>
              <w:spacing w:before="72"/>
            </w:pPr>
            <w:r>
              <w:rPr>
                <w:rFonts w:hint="eastAsia"/>
              </w:rPr>
              <w:t>★3.</w:t>
            </w:r>
            <w:r>
              <w:t>打印速度</w:t>
            </w:r>
            <w:r>
              <w:rPr>
                <w:rFonts w:hint="eastAsia"/>
              </w:rPr>
              <w:t>：</w:t>
            </w:r>
            <w:r>
              <w:rPr>
                <w:rFonts w:hint="eastAsia"/>
                <w:kern w:val="0"/>
              </w:rPr>
              <w:t>≥</w:t>
            </w:r>
            <w:r>
              <w:t>150mm/s</w:t>
            </w:r>
          </w:p>
          <w:p>
            <w:pPr>
              <w:spacing w:before="72"/>
            </w:pPr>
            <w:r>
              <w:rPr>
                <w:rFonts w:hint="eastAsia"/>
              </w:rPr>
              <w:t>★4.</w:t>
            </w:r>
            <w:r>
              <w:t>打印宽度</w:t>
            </w:r>
            <w:r>
              <w:rPr>
                <w:rFonts w:hint="eastAsia"/>
              </w:rPr>
              <w:t>：</w:t>
            </w:r>
            <w:r>
              <w:rPr>
                <w:rFonts w:hint="eastAsia"/>
                <w:kern w:val="0"/>
              </w:rPr>
              <w:t>≥</w:t>
            </w:r>
            <w:r>
              <w:t>108mm</w:t>
            </w:r>
          </w:p>
          <w:p>
            <w:pPr>
              <w:spacing w:before="72"/>
            </w:pPr>
            <w:r>
              <w:rPr>
                <w:rFonts w:hint="eastAsia"/>
              </w:rPr>
              <w:t>★5.</w:t>
            </w:r>
            <w:r>
              <w:t>进纸宽度</w:t>
            </w:r>
            <w:r>
              <w:rPr>
                <w:rFonts w:hint="eastAsia"/>
              </w:rPr>
              <w:t>：</w:t>
            </w:r>
            <w:r>
              <w:rPr>
                <w:rFonts w:hint="eastAsia"/>
                <w:kern w:val="0"/>
              </w:rPr>
              <w:t>≥</w:t>
            </w:r>
            <w:r>
              <w:t>118mm</w:t>
            </w:r>
          </w:p>
          <w:p>
            <w:pPr>
              <w:spacing w:before="72"/>
            </w:pPr>
            <w:r>
              <w:rPr>
                <w:rFonts w:hint="eastAsia"/>
              </w:rPr>
              <w:t>6.</w:t>
            </w:r>
            <w:r>
              <w:t>条形码</w:t>
            </w:r>
            <w:r>
              <w:rPr>
                <w:rFonts w:hint="eastAsia"/>
              </w:rPr>
              <w:t>：至少包括</w:t>
            </w:r>
            <w:r>
              <w:t>一维码、二维码</w:t>
            </w:r>
          </w:p>
          <w:p>
            <w:pPr>
              <w:spacing w:before="72"/>
            </w:pPr>
            <w:r>
              <w:rPr>
                <w:rFonts w:hint="eastAsia"/>
              </w:rPr>
              <w:t>7.</w:t>
            </w:r>
            <w:r>
              <w:t>纸卷外径</w:t>
            </w:r>
            <w:r>
              <w:rPr>
                <w:rFonts w:hint="eastAsia"/>
              </w:rPr>
              <w:t>：</w:t>
            </w:r>
            <w:r>
              <w:rPr>
                <w:rFonts w:hint="eastAsia"/>
                <w:kern w:val="0"/>
              </w:rPr>
              <w:t>≥</w:t>
            </w:r>
            <w:r>
              <w:t>127mm</w:t>
            </w:r>
          </w:p>
          <w:p>
            <w:pPr>
              <w:spacing w:before="72"/>
            </w:pPr>
            <w:r>
              <w:rPr>
                <w:rFonts w:hint="eastAsia"/>
              </w:rPr>
              <w:t>8.</w:t>
            </w:r>
            <w:r>
              <w:t>碳带长度</w:t>
            </w:r>
            <w:r>
              <w:rPr>
                <w:rFonts w:hint="eastAsia"/>
              </w:rPr>
              <w:t>：</w:t>
            </w:r>
            <w:r>
              <w:rPr>
                <w:rFonts w:hint="eastAsia"/>
                <w:kern w:val="0"/>
              </w:rPr>
              <w:t>≥</w:t>
            </w:r>
            <w:r>
              <w:t>300m</w:t>
            </w:r>
          </w:p>
          <w:p>
            <w:pPr>
              <w:spacing w:before="72"/>
            </w:pPr>
            <w:r>
              <w:rPr>
                <w:rFonts w:hint="eastAsia"/>
              </w:rPr>
              <w:t>9.</w:t>
            </w:r>
            <w:r>
              <w:t>选件</w:t>
            </w:r>
            <w:r>
              <w:rPr>
                <w:rFonts w:hint="eastAsia"/>
              </w:rPr>
              <w:t>：可选配</w:t>
            </w:r>
            <w:r>
              <w:t>切刀、剥离器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pPr>
              <w:spacing w:before="72"/>
              <w:jc w:val="center"/>
            </w:pPr>
            <w:r>
              <w:rPr>
                <w:rFonts w:hint="eastAsia"/>
              </w:rPr>
              <w:t>7</w:t>
            </w:r>
          </w:p>
        </w:tc>
        <w:tc>
          <w:tcPr>
            <w:tcW w:w="1276" w:type="dxa"/>
            <w:vAlign w:val="center"/>
          </w:tcPr>
          <w:p>
            <w:pPr>
              <w:spacing w:before="72"/>
              <w:jc w:val="center"/>
              <w:rPr>
                <w:rFonts w:cs="宋体"/>
                <w:color w:val="000000"/>
              </w:rPr>
            </w:pPr>
            <w:r>
              <w:rPr>
                <w:rFonts w:hint="eastAsia" w:cs="宋体"/>
                <w:color w:val="000000"/>
              </w:rPr>
              <w:t>针式打印机</w:t>
            </w:r>
          </w:p>
        </w:tc>
        <w:tc>
          <w:tcPr>
            <w:tcW w:w="7614" w:type="dxa"/>
            <w:gridSpan w:val="2"/>
            <w:vAlign w:val="center"/>
          </w:tcPr>
          <w:p>
            <w:pPr>
              <w:spacing w:before="72"/>
            </w:pPr>
            <w:r>
              <w:rPr>
                <w:rFonts w:hint="eastAsia"/>
              </w:rPr>
              <w:t>1.</w:t>
            </w:r>
            <w:r>
              <w:t>打印方式</w:t>
            </w:r>
            <w:r>
              <w:rPr>
                <w:rFonts w:hint="eastAsia"/>
              </w:rPr>
              <w:t>：</w:t>
            </w:r>
            <w:r>
              <w:rPr>
                <w:rFonts w:hint="eastAsia"/>
                <w:kern w:val="0"/>
              </w:rPr>
              <w:t>≥</w:t>
            </w:r>
            <w:r>
              <w:t>24针点阵击打式</w:t>
            </w:r>
          </w:p>
          <w:p>
            <w:pPr>
              <w:spacing w:before="72"/>
            </w:pPr>
            <w:r>
              <w:rPr>
                <w:rFonts w:hint="eastAsia"/>
              </w:rPr>
              <w:t>★2.</w:t>
            </w:r>
            <w:r>
              <w:t>进纸方式</w:t>
            </w:r>
            <w:r>
              <w:rPr>
                <w:rFonts w:hint="eastAsia"/>
              </w:rPr>
              <w:t>：</w:t>
            </w:r>
            <w:r>
              <w:rPr>
                <w:rFonts w:hint="eastAsia"/>
                <w:kern w:val="0"/>
              </w:rPr>
              <w:t>要求</w:t>
            </w:r>
            <w:r>
              <w:t>滚筒式（后进纸）,支持手动、连续进纸</w:t>
            </w:r>
          </w:p>
          <w:p>
            <w:pPr>
              <w:spacing w:before="72"/>
            </w:pPr>
            <w:r>
              <w:rPr>
                <w:rFonts w:hint="eastAsia"/>
              </w:rPr>
              <w:t>★3.</w:t>
            </w:r>
            <w:r>
              <w:t>打印头寿命</w:t>
            </w:r>
            <w:r>
              <w:rPr>
                <w:rFonts w:hint="eastAsia"/>
              </w:rPr>
              <w:t>：</w:t>
            </w:r>
            <w:r>
              <w:rPr>
                <w:rFonts w:hint="eastAsia"/>
                <w:kern w:val="0"/>
              </w:rPr>
              <w:t>≥</w:t>
            </w:r>
            <w:r>
              <w:t>4亿次／针</w:t>
            </w:r>
          </w:p>
          <w:p>
            <w:pPr>
              <w:spacing w:before="72"/>
            </w:pPr>
            <w:r>
              <w:rPr>
                <w:rFonts w:hint="eastAsia"/>
              </w:rPr>
              <w:t>★4.</w:t>
            </w:r>
            <w:r>
              <w:t>打印速度</w:t>
            </w:r>
            <w:r>
              <w:rPr>
                <w:rFonts w:hint="eastAsia"/>
              </w:rPr>
              <w:t>：</w:t>
            </w:r>
            <w:r>
              <w:rPr>
                <w:rFonts w:hint="eastAsia"/>
                <w:kern w:val="0"/>
              </w:rPr>
              <w:t>≥</w:t>
            </w:r>
            <w:r>
              <w:t>396字/秒</w:t>
            </w:r>
          </w:p>
          <w:p>
            <w:pPr>
              <w:spacing w:before="72"/>
            </w:pPr>
            <w:r>
              <w:rPr>
                <w:rFonts w:hint="eastAsia"/>
              </w:rPr>
              <w:t>★5.</w:t>
            </w:r>
            <w:r>
              <w:t>复写能力</w:t>
            </w:r>
            <w:r>
              <w:rPr>
                <w:rFonts w:hint="eastAsia"/>
              </w:rPr>
              <w:t>：</w:t>
            </w:r>
            <w:r>
              <w:rPr>
                <w:rFonts w:hint="eastAsia"/>
                <w:kern w:val="0"/>
              </w:rPr>
              <w:t>≥</w:t>
            </w:r>
            <w:r>
              <w:t>1+6</w:t>
            </w:r>
          </w:p>
          <w:p>
            <w:pPr>
              <w:spacing w:before="72"/>
            </w:pPr>
            <w:r>
              <w:rPr>
                <w:rFonts w:hint="eastAsia"/>
              </w:rPr>
              <w:t>6.</w:t>
            </w:r>
            <w:r>
              <w:t>平均无故障时间</w:t>
            </w:r>
            <w:r>
              <w:rPr>
                <w:rFonts w:hint="eastAsia"/>
              </w:rPr>
              <w:t>：</w:t>
            </w:r>
            <w:r>
              <w:rPr>
                <w:rFonts w:hint="eastAsia"/>
                <w:kern w:val="0"/>
              </w:rPr>
              <w:t>≥</w:t>
            </w:r>
            <w:r>
              <w:t>20000小时以上</w:t>
            </w:r>
          </w:p>
          <w:p>
            <w:pPr>
              <w:spacing w:before="72"/>
            </w:pPr>
            <w:r>
              <w:rPr>
                <w:rFonts w:hint="eastAsia"/>
              </w:rPr>
              <w:t>7.</w:t>
            </w:r>
            <w:r>
              <w:t>最大打印厚度</w:t>
            </w:r>
            <w:r>
              <w:rPr>
                <w:rFonts w:hint="eastAsia"/>
              </w:rPr>
              <w:t>：</w:t>
            </w:r>
            <w:r>
              <w:rPr>
                <w:rFonts w:hint="eastAsia"/>
                <w:kern w:val="0"/>
              </w:rPr>
              <w:t>≥</w:t>
            </w:r>
            <w:r>
              <w:t>0.45mm</w:t>
            </w:r>
          </w:p>
          <w:p>
            <w:pPr>
              <w:spacing w:before="72"/>
            </w:pPr>
            <w:r>
              <w:rPr>
                <w:rFonts w:hint="eastAsia"/>
              </w:rPr>
              <w:t>8.</w:t>
            </w:r>
            <w:r>
              <w:t>最大进纸宽度</w:t>
            </w:r>
            <w:r>
              <w:rPr>
                <w:rFonts w:hint="eastAsia"/>
              </w:rPr>
              <w:t>：</w:t>
            </w:r>
            <w:r>
              <w:rPr>
                <w:rFonts w:hint="eastAsia"/>
                <w:kern w:val="0"/>
              </w:rPr>
              <w:t>≥</w:t>
            </w:r>
            <w:r>
              <w:t>254mm</w:t>
            </w:r>
          </w:p>
          <w:p>
            <w:pPr>
              <w:spacing w:before="72"/>
            </w:pPr>
            <w:r>
              <w:rPr>
                <w:rFonts w:hint="eastAsia"/>
              </w:rPr>
              <w:t>9.</w:t>
            </w:r>
            <w:r>
              <w:t>接口</w:t>
            </w:r>
            <w:r>
              <w:rPr>
                <w:rFonts w:hint="eastAsia"/>
              </w:rPr>
              <w:t>：</w:t>
            </w:r>
            <w:r>
              <w:rPr>
                <w:rFonts w:hint="eastAsia"/>
                <w:kern w:val="0"/>
              </w:rPr>
              <w:t>至少包括</w:t>
            </w:r>
            <w:r>
              <w:t>USB接口</w:t>
            </w:r>
            <w:r>
              <w:rPr>
                <w:rFonts w:hint="eastAsia"/>
              </w:rPr>
              <w:t>，</w:t>
            </w:r>
            <w:r>
              <w:t>可选并行接口、RS-232C串行接口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restart"/>
            <w:vAlign w:val="center"/>
          </w:tcPr>
          <w:p>
            <w:pPr>
              <w:spacing w:before="72"/>
              <w:jc w:val="center"/>
            </w:pPr>
            <w:r>
              <w:rPr>
                <w:rFonts w:hint="eastAsia"/>
              </w:rPr>
              <w:t>8</w:t>
            </w:r>
          </w:p>
        </w:tc>
        <w:tc>
          <w:tcPr>
            <w:tcW w:w="1276" w:type="dxa"/>
            <w:vMerge w:val="restart"/>
            <w:vAlign w:val="center"/>
          </w:tcPr>
          <w:p>
            <w:r>
              <w:rPr>
                <w:rFonts w:hint="eastAsia"/>
              </w:rPr>
              <w:t>自助打印机</w:t>
            </w:r>
          </w:p>
        </w:tc>
        <w:tc>
          <w:tcPr>
            <w:tcW w:w="1134" w:type="dxa"/>
            <w:vAlign w:val="center"/>
          </w:tcPr>
          <w:p>
            <w:r>
              <w:rPr>
                <w:rFonts w:hint="eastAsia"/>
              </w:rPr>
              <w:t>定制化</w:t>
            </w:r>
          </w:p>
        </w:tc>
        <w:tc>
          <w:tcPr>
            <w:tcW w:w="6480" w:type="dxa"/>
            <w:vAlign w:val="center"/>
          </w:tcPr>
          <w:p>
            <w:r>
              <w:rPr>
                <w:rFonts w:hint="eastAsia"/>
              </w:rPr>
              <w:t>支持定制医院院徽、LOGO（丝印工艺非贴纸）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vAlign w:val="center"/>
          </w:tcPr>
          <w:p>
            <w:pPr>
              <w:spacing w:before="72"/>
              <w:jc w:val="center"/>
            </w:pPr>
          </w:p>
        </w:tc>
        <w:tc>
          <w:tcPr>
            <w:tcW w:w="1276" w:type="dxa"/>
            <w:vMerge w:val="continue"/>
            <w:vAlign w:val="center"/>
          </w:tcPr>
          <w:p/>
        </w:tc>
        <w:tc>
          <w:tcPr>
            <w:tcW w:w="1134" w:type="dxa"/>
            <w:vAlign w:val="center"/>
          </w:tcPr>
          <w:p>
            <w:r>
              <w:rPr>
                <w:rFonts w:hint="eastAsia"/>
              </w:rPr>
              <w:t>主机</w:t>
            </w:r>
          </w:p>
        </w:tc>
        <w:tc>
          <w:tcPr>
            <w:tcW w:w="6480" w:type="dxa"/>
            <w:vAlign w:val="center"/>
          </w:tcPr>
          <w:p>
            <w:r>
              <w:rPr>
                <w:rFonts w:hint="eastAsia"/>
              </w:rPr>
              <w:t>★工业控制主机；CPU≥Intel i3 四代；内存≥4G；硬盘≥128G固态硬盘；默认预装Windows 10操作系统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vAlign w:val="center"/>
          </w:tcPr>
          <w:p>
            <w:pPr>
              <w:spacing w:before="72"/>
              <w:jc w:val="center"/>
            </w:pPr>
          </w:p>
        </w:tc>
        <w:tc>
          <w:tcPr>
            <w:tcW w:w="1276" w:type="dxa"/>
            <w:vMerge w:val="continue"/>
            <w:vAlign w:val="center"/>
          </w:tcPr>
          <w:p/>
        </w:tc>
        <w:tc>
          <w:tcPr>
            <w:tcW w:w="1134" w:type="dxa"/>
            <w:vAlign w:val="center"/>
          </w:tcPr>
          <w:p>
            <w:r>
              <w:rPr>
                <w:rFonts w:hint="eastAsia"/>
              </w:rPr>
              <w:t>社保卡</w:t>
            </w:r>
          </w:p>
        </w:tc>
        <w:tc>
          <w:tcPr>
            <w:tcW w:w="6480" w:type="dxa"/>
            <w:vAlign w:val="center"/>
          </w:tcPr>
          <w:p>
            <w:r>
              <w:rPr>
                <w:rFonts w:hint="eastAsia"/>
              </w:rPr>
              <w:t>兼容安装湖州当地社保读卡器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vAlign w:val="center"/>
          </w:tcPr>
          <w:p>
            <w:pPr>
              <w:spacing w:before="72"/>
              <w:jc w:val="center"/>
            </w:pPr>
          </w:p>
        </w:tc>
        <w:tc>
          <w:tcPr>
            <w:tcW w:w="1276" w:type="dxa"/>
            <w:vMerge w:val="continue"/>
            <w:vAlign w:val="center"/>
          </w:tcPr>
          <w:p/>
        </w:tc>
        <w:tc>
          <w:tcPr>
            <w:tcW w:w="1134" w:type="dxa"/>
            <w:vAlign w:val="center"/>
          </w:tcPr>
          <w:p>
            <w:r>
              <w:rPr>
                <w:rFonts w:hint="eastAsia"/>
              </w:rPr>
              <w:t>就诊卡</w:t>
            </w:r>
          </w:p>
        </w:tc>
        <w:tc>
          <w:tcPr>
            <w:tcW w:w="6480" w:type="dxa"/>
            <w:vAlign w:val="center"/>
          </w:tcPr>
          <w:p>
            <w:r>
              <w:rPr>
                <w:rFonts w:hint="eastAsia"/>
              </w:rPr>
              <w:t>兼容医院就诊卡（自费卡）读取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vAlign w:val="center"/>
          </w:tcPr>
          <w:p>
            <w:pPr>
              <w:spacing w:before="72"/>
              <w:jc w:val="center"/>
            </w:pPr>
          </w:p>
        </w:tc>
        <w:tc>
          <w:tcPr>
            <w:tcW w:w="1276" w:type="dxa"/>
            <w:vMerge w:val="continue"/>
            <w:vAlign w:val="center"/>
          </w:tcPr>
          <w:p/>
        </w:tc>
        <w:tc>
          <w:tcPr>
            <w:tcW w:w="1134" w:type="dxa"/>
            <w:vAlign w:val="center"/>
          </w:tcPr>
          <w:p>
            <w:r>
              <w:rPr>
                <w:rFonts w:hint="eastAsia"/>
              </w:rPr>
              <w:t>身份证</w:t>
            </w:r>
          </w:p>
        </w:tc>
        <w:tc>
          <w:tcPr>
            <w:tcW w:w="6480" w:type="dxa"/>
            <w:vAlign w:val="center"/>
          </w:tcPr>
          <w:p>
            <w:r>
              <w:rPr>
                <w:rFonts w:hint="eastAsia"/>
              </w:rPr>
              <w:t>支持身份证读卡，符合居民身份证验证机具通用技术要求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vAlign w:val="center"/>
          </w:tcPr>
          <w:p>
            <w:pPr>
              <w:spacing w:before="72"/>
              <w:jc w:val="center"/>
            </w:pPr>
          </w:p>
        </w:tc>
        <w:tc>
          <w:tcPr>
            <w:tcW w:w="1276" w:type="dxa"/>
            <w:vMerge w:val="continue"/>
            <w:vAlign w:val="center"/>
          </w:tcPr>
          <w:p/>
        </w:tc>
        <w:tc>
          <w:tcPr>
            <w:tcW w:w="1134" w:type="dxa"/>
            <w:vAlign w:val="center"/>
          </w:tcPr>
          <w:p>
            <w:r>
              <w:rPr>
                <w:rFonts w:hint="eastAsia"/>
              </w:rPr>
              <w:t>扫码</w:t>
            </w:r>
          </w:p>
        </w:tc>
        <w:tc>
          <w:tcPr>
            <w:tcW w:w="6480" w:type="dxa"/>
            <w:vAlign w:val="center"/>
          </w:tcPr>
          <w:p>
            <w:r>
              <w:rPr>
                <w:rFonts w:hint="eastAsia"/>
              </w:rPr>
              <w:t>一维、二维条码，影像式扫描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vAlign w:val="center"/>
          </w:tcPr>
          <w:p>
            <w:pPr>
              <w:spacing w:before="72"/>
              <w:jc w:val="center"/>
            </w:pPr>
          </w:p>
        </w:tc>
        <w:tc>
          <w:tcPr>
            <w:tcW w:w="1276" w:type="dxa"/>
            <w:vMerge w:val="continue"/>
            <w:vAlign w:val="center"/>
          </w:tcPr>
          <w:p/>
        </w:tc>
        <w:tc>
          <w:tcPr>
            <w:tcW w:w="1134" w:type="dxa"/>
            <w:vAlign w:val="center"/>
          </w:tcPr>
          <w:p>
            <w:r>
              <w:rPr>
                <w:rFonts w:hint="eastAsia"/>
              </w:rPr>
              <w:t>音频</w:t>
            </w:r>
          </w:p>
        </w:tc>
        <w:tc>
          <w:tcPr>
            <w:tcW w:w="6480" w:type="dxa"/>
            <w:vAlign w:val="center"/>
          </w:tcPr>
          <w:p>
            <w:r>
              <w:rPr>
                <w:rFonts w:hint="eastAsia"/>
              </w:rPr>
              <w:t>具备音频播放功能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vAlign w:val="center"/>
          </w:tcPr>
          <w:p>
            <w:pPr>
              <w:spacing w:before="72"/>
              <w:jc w:val="center"/>
            </w:pPr>
          </w:p>
        </w:tc>
        <w:tc>
          <w:tcPr>
            <w:tcW w:w="1276" w:type="dxa"/>
            <w:vMerge w:val="continue"/>
            <w:vAlign w:val="center"/>
          </w:tcPr>
          <w:p/>
        </w:tc>
        <w:tc>
          <w:tcPr>
            <w:tcW w:w="1134" w:type="dxa"/>
            <w:vAlign w:val="center"/>
          </w:tcPr>
          <w:p>
            <w:r>
              <w:rPr>
                <w:rFonts w:hint="eastAsia"/>
              </w:rPr>
              <w:t>安全</w:t>
            </w:r>
          </w:p>
        </w:tc>
        <w:tc>
          <w:tcPr>
            <w:tcW w:w="6480" w:type="dxa"/>
            <w:vAlign w:val="center"/>
          </w:tcPr>
          <w:p>
            <w:r>
              <w:rPr>
                <w:rFonts w:hint="eastAsia"/>
              </w:rPr>
              <w:t>配备漏电保护开关、时控开关，支持定时开关机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vAlign w:val="center"/>
          </w:tcPr>
          <w:p>
            <w:pPr>
              <w:spacing w:before="72"/>
              <w:jc w:val="center"/>
            </w:pPr>
          </w:p>
        </w:tc>
        <w:tc>
          <w:tcPr>
            <w:tcW w:w="1276" w:type="dxa"/>
            <w:vMerge w:val="continue"/>
            <w:vAlign w:val="center"/>
          </w:tcPr>
          <w:p/>
        </w:tc>
        <w:tc>
          <w:tcPr>
            <w:tcW w:w="1134" w:type="dxa"/>
            <w:vAlign w:val="center"/>
          </w:tcPr>
          <w:p>
            <w:r>
              <w:rPr>
                <w:rFonts w:hint="eastAsia"/>
              </w:rPr>
              <w:t>凭条打印</w:t>
            </w:r>
          </w:p>
        </w:tc>
        <w:tc>
          <w:tcPr>
            <w:tcW w:w="6480" w:type="dxa"/>
            <w:vAlign w:val="center"/>
          </w:tcPr>
          <w:p>
            <w:r>
              <w:rPr>
                <w:rFonts w:hint="eastAsia"/>
              </w:rPr>
              <w:t>面板式热敏打印机，79.5±0.5mm 纸宽，USB驱动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Merge w:val="continue"/>
            <w:vAlign w:val="center"/>
          </w:tcPr>
          <w:p>
            <w:pPr>
              <w:spacing w:before="72"/>
              <w:jc w:val="center"/>
            </w:pPr>
          </w:p>
        </w:tc>
        <w:tc>
          <w:tcPr>
            <w:tcW w:w="1276" w:type="dxa"/>
            <w:vMerge w:val="continue"/>
            <w:vAlign w:val="center"/>
          </w:tcPr>
          <w:p/>
        </w:tc>
        <w:tc>
          <w:tcPr>
            <w:tcW w:w="1134" w:type="dxa"/>
            <w:vAlign w:val="center"/>
          </w:tcPr>
          <w:p>
            <w:r>
              <w:rPr>
                <w:rFonts w:hint="eastAsia"/>
              </w:rPr>
              <w:t>报告打印</w:t>
            </w:r>
          </w:p>
        </w:tc>
        <w:tc>
          <w:tcPr>
            <w:tcW w:w="6480" w:type="dxa"/>
            <w:vAlign w:val="center"/>
          </w:tcPr>
          <w:p>
            <w:pPr>
              <w:adjustRightInd w:val="0"/>
              <w:snapToGrid w:val="0"/>
            </w:pPr>
            <w:r>
              <w:rPr>
                <w:rFonts w:hint="eastAsia"/>
              </w:rPr>
              <w:t>1、打印幅面：支持至少两个规格（如A4/A5）打印；</w:t>
            </w:r>
          </w:p>
          <w:p>
            <w:pPr>
              <w:adjustRightInd w:val="0"/>
              <w:snapToGrid w:val="0"/>
            </w:pPr>
            <w:r>
              <w:rPr>
                <w:rFonts w:hint="eastAsia"/>
              </w:rPr>
              <w:t>★2、打印分辨率：最大支持4800×1200 dpi；</w:t>
            </w:r>
          </w:p>
          <w:p>
            <w:pPr>
              <w:adjustRightInd w:val="0"/>
              <w:snapToGrid w:val="0"/>
            </w:pPr>
            <w:r>
              <w:rPr>
                <w:rFonts w:hint="eastAsia"/>
              </w:rPr>
              <w:t>★3、打印速度：4秒首页输出，黑白彩色打印同速34ppm/24ipm；</w:t>
            </w:r>
          </w:p>
          <w:p>
            <w:pPr>
              <w:adjustRightInd w:val="0"/>
              <w:snapToGrid w:val="0"/>
            </w:pPr>
            <w:r>
              <w:rPr>
                <w:rFonts w:hint="eastAsia"/>
              </w:rPr>
              <w:t>★4、最大容纸量：双纸盒，最多支持750张</w:t>
            </w:r>
          </w:p>
          <w:p>
            <w:pPr>
              <w:adjustRightInd w:val="0"/>
              <w:snapToGrid w:val="0"/>
            </w:pPr>
            <w:r>
              <w:rPr>
                <w:rFonts w:hint="eastAsia"/>
              </w:rPr>
              <w:t>5、内存：256M；</w:t>
            </w:r>
          </w:p>
          <w:p>
            <w:pPr>
              <w:adjustRightInd w:val="0"/>
              <w:snapToGrid w:val="0"/>
            </w:pPr>
            <w:r>
              <w:rPr>
                <w:rFonts w:hint="eastAsia"/>
              </w:rPr>
              <w:t>6、打印方式(单面或双面)：自动双面打印；</w:t>
            </w:r>
          </w:p>
          <w:p>
            <w:r>
              <w:rPr>
                <w:rFonts w:hint="eastAsia"/>
              </w:rPr>
              <w:t>7、其它：打印无臭氧、无粉尘（无PM2.5）、打印无颗粒；防水，耐刮蹭，不褪色</w:t>
            </w:r>
          </w:p>
        </w:tc>
      </w:tr>
    </w:tbl>
    <w:p>
      <w:pPr>
        <w:spacing w:before="97" w:line="480" w:lineRule="exact"/>
        <w:rPr>
          <w:rFonts w:ascii="宋体" w:hAnsi="宋体" w:cs="宋体"/>
          <w:b/>
          <w:bCs/>
          <w:sz w:val="24"/>
        </w:rPr>
      </w:pPr>
    </w:p>
    <w:p>
      <w:pPr>
        <w:spacing w:before="97" w:line="480" w:lineRule="exact"/>
        <w:rPr>
          <w:rFonts w:ascii="宋体" w:hAnsi="宋体" w:cs="宋体"/>
          <w:b/>
          <w:bCs/>
          <w:sz w:val="24"/>
        </w:rPr>
      </w:pPr>
      <w:r>
        <w:rPr>
          <w:rFonts w:hint="eastAsia" w:ascii="宋体" w:hAnsi="宋体" w:cs="宋体"/>
          <w:b/>
          <w:bCs/>
          <w:sz w:val="24"/>
        </w:rPr>
        <w:t>（2）服务管理平台功能要求</w:t>
      </w:r>
    </w:p>
    <w:p>
      <w:pPr>
        <w:pStyle w:val="34"/>
        <w:spacing w:before="72"/>
        <w:ind w:firstLine="420"/>
      </w:pPr>
      <w:r>
        <w:t>提供智慧管理平台，并本地化部署到医院供医院使用，实现钉钉线上报修及耗材申领和进度查询</w:t>
      </w:r>
      <w:r>
        <w:rPr>
          <w:rFonts w:hint="eastAsia"/>
        </w:rPr>
        <w:t>，平台功能要求如下，为保障功能的真实性，投标人需在投标文件中提供相关软件著</w:t>
      </w:r>
      <w:r>
        <w:t>作权登记证书</w:t>
      </w:r>
      <w:r>
        <w:rPr>
          <w:rFonts w:hint="eastAsia"/>
        </w:rPr>
        <w:t>、软件功能截图并在开标现场进行功能演示：</w:t>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1276"/>
        <w:gridCol w:w="76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846" w:type="dxa"/>
            <w:vAlign w:val="center"/>
          </w:tcPr>
          <w:p>
            <w:pPr>
              <w:spacing w:before="72"/>
              <w:jc w:val="center"/>
              <w:rPr>
                <w:b/>
                <w:bCs/>
              </w:rPr>
            </w:pPr>
            <w:r>
              <w:rPr>
                <w:rFonts w:hint="eastAsia"/>
                <w:b/>
                <w:bCs/>
              </w:rPr>
              <w:t>序号</w:t>
            </w:r>
          </w:p>
        </w:tc>
        <w:tc>
          <w:tcPr>
            <w:tcW w:w="1276" w:type="dxa"/>
            <w:vAlign w:val="center"/>
          </w:tcPr>
          <w:p>
            <w:pPr>
              <w:spacing w:before="72"/>
              <w:jc w:val="center"/>
              <w:rPr>
                <w:b/>
                <w:bCs/>
              </w:rPr>
            </w:pPr>
            <w:r>
              <w:rPr>
                <w:rFonts w:hint="eastAsia"/>
                <w:b/>
                <w:bCs/>
              </w:rPr>
              <w:t>模块</w:t>
            </w:r>
          </w:p>
        </w:tc>
        <w:tc>
          <w:tcPr>
            <w:tcW w:w="7614" w:type="dxa"/>
            <w:vAlign w:val="center"/>
          </w:tcPr>
          <w:p>
            <w:pPr>
              <w:spacing w:before="72"/>
              <w:jc w:val="center"/>
              <w:rPr>
                <w:b/>
                <w:bCs/>
              </w:rPr>
            </w:pPr>
            <w:r>
              <w:rPr>
                <w:rFonts w:hint="eastAsia"/>
                <w:b/>
                <w:bCs/>
              </w:rPr>
              <w:t>功能要求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Align w:val="center"/>
          </w:tcPr>
          <w:p>
            <w:pPr>
              <w:spacing w:before="72"/>
              <w:jc w:val="center"/>
            </w:pPr>
            <w:r>
              <w:rPr>
                <w:rFonts w:hint="eastAsia"/>
              </w:rPr>
              <w:t>1</w:t>
            </w:r>
          </w:p>
        </w:tc>
        <w:tc>
          <w:tcPr>
            <w:tcW w:w="1276" w:type="dxa"/>
            <w:vAlign w:val="center"/>
          </w:tcPr>
          <w:p>
            <w:pPr>
              <w:spacing w:before="72"/>
              <w:jc w:val="center"/>
            </w:pPr>
            <w:r>
              <w:rPr>
                <w:rFonts w:hint="eastAsia"/>
              </w:rPr>
              <w:t>部署方式</w:t>
            </w:r>
          </w:p>
        </w:tc>
        <w:tc>
          <w:tcPr>
            <w:tcW w:w="7614" w:type="dxa"/>
            <w:vAlign w:val="center"/>
          </w:tcPr>
          <w:p>
            <w:pPr>
              <w:spacing w:before="72"/>
            </w:pPr>
            <w:r>
              <w:rPr>
                <w:rFonts w:hint="eastAsia"/>
                <w:color w:val="000000" w:themeColor="text1"/>
                <w14:textFill>
                  <w14:solidFill>
                    <w14:schemeClr w14:val="tx1"/>
                  </w14:solidFill>
                </w14:textFill>
              </w:rPr>
              <w:t>★</w:t>
            </w:r>
            <w:r>
              <w:rPr>
                <w:rFonts w:hint="eastAsia"/>
              </w:rPr>
              <w:t>系统支持本地化部署及云端部署多种方式，可</w:t>
            </w:r>
            <w:r>
              <w:t>通过与钉钉及我院HIS系统等进行对接（接口费由服务商自行承担），自动获取科室信息、识别报修科室及报修人并与报修工单链接对接，实现钉钉线上报修及耗材申领和进度查询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restart"/>
            <w:vAlign w:val="center"/>
          </w:tcPr>
          <w:p>
            <w:pPr>
              <w:spacing w:before="72"/>
              <w:jc w:val="center"/>
            </w:pPr>
            <w:r>
              <w:rPr>
                <w:rFonts w:hint="eastAsia"/>
              </w:rPr>
              <w:t>2</w:t>
            </w:r>
          </w:p>
        </w:tc>
        <w:tc>
          <w:tcPr>
            <w:tcW w:w="1276" w:type="dxa"/>
            <w:vMerge w:val="restart"/>
            <w:vAlign w:val="center"/>
          </w:tcPr>
          <w:p>
            <w:pPr>
              <w:spacing w:before="72"/>
              <w:jc w:val="center"/>
            </w:pPr>
            <w:r>
              <w:rPr>
                <w:rFonts w:hint="eastAsia"/>
              </w:rPr>
              <w:t>工单创建</w:t>
            </w:r>
          </w:p>
        </w:tc>
        <w:tc>
          <w:tcPr>
            <w:tcW w:w="7614" w:type="dxa"/>
          </w:tcPr>
          <w:p>
            <w:pPr>
              <w:spacing w:before="72"/>
            </w:pPr>
            <w:r>
              <w:rPr>
                <w:rFonts w:hint="eastAsia"/>
                <w:color w:val="000000" w:themeColor="text1"/>
                <w14:textFill>
                  <w14:solidFill>
                    <w14:schemeClr w14:val="tx1"/>
                  </w14:solidFill>
                </w14:textFill>
              </w:rPr>
              <w:t>★提供客服式工作台，至少具备工程师状态监控、便捷派单、未完成工单监控等，具备</w:t>
            </w:r>
            <w:r>
              <w:rPr>
                <w:color w:val="000000" w:themeColor="text1"/>
                <w14:textFill>
                  <w14:solidFill>
                    <w14:schemeClr w14:val="tx1"/>
                  </w14:solidFill>
                </w14:textFill>
              </w:rPr>
              <w:t>全院统一报修码</w:t>
            </w:r>
            <w:r>
              <w:rPr>
                <w:rFonts w:hint="eastAsia"/>
                <w:color w:val="000000" w:themeColor="text1"/>
                <w14:textFill>
                  <w14:solidFill>
                    <w14:schemeClr w14:val="tx1"/>
                  </w14:solidFill>
                </w14:textFill>
              </w:rPr>
              <w:t>，可通过扫码快速发起报修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tcPr>
          <w:p>
            <w:pPr>
              <w:spacing w:before="72"/>
            </w:pPr>
            <w:r>
              <w:rPr>
                <w:color w:val="000000" w:themeColor="text1"/>
                <w14:textFill>
                  <w14:solidFill>
                    <w14:schemeClr w14:val="tx1"/>
                  </w14:solidFill>
                </w14:textFill>
              </w:rPr>
              <w:t>支持“记工单”功能，可通过便捷的方法快速记录处理内容、故障原因、科室信息、设备信息、故障类型等，对应工单默认完成闭环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tcPr>
          <w:p>
            <w:pPr>
              <w:spacing w:before="72"/>
            </w:pPr>
            <w:r>
              <w:rPr>
                <w:rFonts w:hint="eastAsia"/>
                <w:color w:val="000000" w:themeColor="text1"/>
                <w14:textFill>
                  <w14:solidFill>
                    <w14:schemeClr w14:val="tx1"/>
                  </w14:solidFill>
                </w14:textFill>
              </w:rPr>
              <w:t>★可通过点选或输入常见故障描述自动弹出对应的解决方案或建议，至少支持智能自动派单、手动指派及抢单派单三种方式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tcPr>
          <w:p>
            <w:pPr>
              <w:spacing w:before="72"/>
            </w:pPr>
            <w:r>
              <w:rPr>
                <w:rFonts w:hint="eastAsia"/>
                <w:color w:val="000000" w:themeColor="text1"/>
                <w14:textFill>
                  <w14:solidFill>
                    <w14:schemeClr w14:val="tx1"/>
                  </w14:solidFill>
                </w14:textFill>
              </w:rPr>
              <w:t>★可通过点选或输入常见故障描述自动判断历史工单（包括</w:t>
            </w:r>
            <w:r>
              <w:rPr>
                <w:color w:val="000000" w:themeColor="text1"/>
                <w14:textFill>
                  <w14:solidFill>
                    <w14:schemeClr w14:val="tx1"/>
                  </w14:solidFill>
                </w14:textFill>
              </w:rPr>
              <w:t>部门</w:t>
            </w:r>
            <w:r>
              <w:rPr>
                <w:rFonts w:hint="eastAsia"/>
                <w:color w:val="000000" w:themeColor="text1"/>
                <w14:textFill>
                  <w14:solidFill>
                    <w14:schemeClr w14:val="tx1"/>
                  </w14:solidFill>
                </w14:textFill>
              </w:rPr>
              <w:t>、</w:t>
            </w:r>
            <w:r>
              <w:rPr>
                <w:color w:val="000000" w:themeColor="text1"/>
                <w14:textFill>
                  <w14:solidFill>
                    <w14:schemeClr w14:val="tx1"/>
                  </w14:solidFill>
                </w14:textFill>
              </w:rPr>
              <w:t>问题描述</w:t>
            </w:r>
            <w:r>
              <w:rPr>
                <w:rFonts w:hint="eastAsia"/>
                <w:color w:val="000000" w:themeColor="text1"/>
                <w14:textFill>
                  <w14:solidFill>
                    <w14:schemeClr w14:val="tx1"/>
                  </w14:solidFill>
                </w14:textFill>
              </w:rPr>
              <w:t>、</w:t>
            </w:r>
            <w:r>
              <w:rPr>
                <w:color w:val="000000" w:themeColor="text1"/>
                <w14:textFill>
                  <w14:solidFill>
                    <w14:schemeClr w14:val="tx1"/>
                  </w14:solidFill>
                </w14:textFill>
              </w:rPr>
              <w:t>处理人</w:t>
            </w:r>
            <w:r>
              <w:rPr>
                <w:rFonts w:hint="eastAsia"/>
                <w:color w:val="000000" w:themeColor="text1"/>
                <w14:textFill>
                  <w14:solidFill>
                    <w14:schemeClr w14:val="tx1"/>
                  </w14:solidFill>
                </w14:textFill>
              </w:rPr>
              <w:t>等），通过历史工单可快速跳转至工单界面查看或重建同样工单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restart"/>
            <w:vAlign w:val="center"/>
          </w:tcPr>
          <w:p>
            <w:pPr>
              <w:spacing w:before="72"/>
              <w:jc w:val="center"/>
            </w:pPr>
            <w:r>
              <w:rPr>
                <w:rFonts w:hint="eastAsia"/>
              </w:rPr>
              <w:t>3</w:t>
            </w:r>
          </w:p>
        </w:tc>
        <w:tc>
          <w:tcPr>
            <w:tcW w:w="1276" w:type="dxa"/>
            <w:vMerge w:val="restart"/>
            <w:vAlign w:val="center"/>
          </w:tcPr>
          <w:p>
            <w:pPr>
              <w:spacing w:before="72"/>
              <w:jc w:val="center"/>
            </w:pPr>
            <w:r>
              <w:t>呼叫中心</w:t>
            </w:r>
          </w:p>
        </w:tc>
        <w:tc>
          <w:tcPr>
            <w:tcW w:w="7614" w:type="dxa"/>
          </w:tcPr>
          <w:p>
            <w:pPr>
              <w:spacing w:before="72"/>
            </w:pPr>
            <w:r>
              <w:rPr>
                <w:color w:val="000000" w:themeColor="text1"/>
                <w14:textFill>
                  <w14:solidFill>
                    <w14:schemeClr w14:val="tx1"/>
                  </w14:solidFill>
                </w14:textFill>
              </w:rPr>
              <w:t>★</w:t>
            </w:r>
            <w:r>
              <w:rPr>
                <w:rFonts w:hint="eastAsia"/>
                <w:color w:val="000000" w:themeColor="text1"/>
                <w14:textFill>
                  <w14:solidFill>
                    <w14:schemeClr w14:val="tx1"/>
                  </w14:solidFill>
                </w14:textFill>
              </w:rPr>
              <w:t>支持与医院内线电话进行无缝对接（不改变原有电话线路）成立科室呼叫中心，</w:t>
            </w:r>
            <w:r>
              <w:rPr>
                <w:color w:val="000000" w:themeColor="text1"/>
                <w14:textFill>
                  <w14:solidFill>
                    <w14:schemeClr w14:val="tx1"/>
                  </w14:solidFill>
                </w14:textFill>
              </w:rPr>
              <w:t>实时在线录音，</w:t>
            </w:r>
            <w:r>
              <w:rPr>
                <w:rFonts w:hint="eastAsia"/>
                <w:color w:val="000000" w:themeColor="text1"/>
                <w14:textFill>
                  <w14:solidFill>
                    <w14:schemeClr w14:val="tx1"/>
                  </w14:solidFill>
                </w14:textFill>
              </w:rPr>
              <w:t>来电自动弹出报修页面，自动识别来电部门和来电人员，</w:t>
            </w:r>
            <w:r>
              <w:rPr>
                <w:color w:val="000000" w:themeColor="text1"/>
                <w14:textFill>
                  <w14:solidFill>
                    <w14:schemeClr w14:val="tx1"/>
                  </w14:solidFill>
                </w14:textFill>
              </w:rPr>
              <w:t>录音文件可永久保存、回放，可监控多路电话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tcPr>
          <w:p>
            <w:pPr>
              <w:spacing w:before="72"/>
              <w:rPr>
                <w:color w:val="000000" w:themeColor="text1"/>
                <w14:textFill>
                  <w14:solidFill>
                    <w14:schemeClr w14:val="tx1"/>
                  </w14:solidFill>
                </w14:textFill>
              </w:rPr>
            </w:pPr>
            <w:r>
              <w:rPr>
                <w:color w:val="000000" w:themeColor="text1"/>
                <w14:textFill>
                  <w14:solidFill>
                    <w14:schemeClr w14:val="tx1"/>
                  </w14:solidFill>
                </w14:textFill>
              </w:rPr>
              <w:t>★</w:t>
            </w:r>
            <w:r>
              <w:rPr>
                <w:rFonts w:hint="eastAsia"/>
                <w:color w:val="000000" w:themeColor="text1"/>
                <w14:textFill>
                  <w14:solidFill>
                    <w14:schemeClr w14:val="tx1"/>
                  </w14:solidFill>
                </w14:textFill>
              </w:rPr>
              <w:t>来电弹屏可</w:t>
            </w:r>
            <w:r>
              <w:rPr>
                <w:color w:val="000000" w:themeColor="text1"/>
                <w14:textFill>
                  <w14:solidFill>
                    <w14:schemeClr w14:val="tx1"/>
                  </w14:solidFill>
                </w14:textFill>
              </w:rPr>
              <w:t>通过点选、输入常见故障类型，弹出对应解决方案；可标注/显示来</w:t>
            </w:r>
            <w:r>
              <w:rPr>
                <w:rFonts w:hint="eastAsia"/>
                <w:color w:val="000000" w:themeColor="text1"/>
                <w14:textFill>
                  <w14:solidFill>
                    <w14:schemeClr w14:val="tx1"/>
                  </w14:solidFill>
                </w14:textFill>
              </w:rPr>
              <w:t>电</w:t>
            </w:r>
            <w:r>
              <w:rPr>
                <w:color w:val="000000" w:themeColor="text1"/>
                <w14:textFill>
                  <w14:solidFill>
                    <w14:schemeClr w14:val="tx1"/>
                  </w14:solidFill>
                </w14:textFill>
              </w:rPr>
              <w:t>科室是否为重点科室</w:t>
            </w:r>
            <w:r>
              <w:rPr>
                <w:rFonts w:hint="eastAsia"/>
                <w:color w:val="000000" w:themeColor="text1"/>
                <w14:textFill>
                  <w14:solidFill>
                    <w14:schemeClr w14:val="tx1"/>
                  </w14:solidFill>
                </w14:textFill>
              </w:rPr>
              <w:t>，</w:t>
            </w:r>
            <w:r>
              <w:rPr>
                <w:color w:val="000000" w:themeColor="text1"/>
                <w14:textFill>
                  <w14:solidFill>
                    <w14:schemeClr w14:val="tx1"/>
                  </w14:solidFill>
                </w14:textFill>
              </w:rPr>
              <w:t>可根据实际情况选择是否派单，不须派单的可即时闭环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tcPr>
          <w:p>
            <w:pPr>
              <w:spacing w:before="72"/>
            </w:pPr>
            <w:r>
              <w:rPr>
                <w:rFonts w:hint="eastAsia"/>
                <w:color w:val="000000" w:themeColor="text1"/>
                <w14:textFill>
                  <w14:solidFill>
                    <w14:schemeClr w14:val="tx1"/>
                  </w14:solidFill>
                </w14:textFill>
              </w:rPr>
              <w:t>★具备</w:t>
            </w:r>
            <w:r>
              <w:rPr>
                <w:color w:val="000000" w:themeColor="text1"/>
                <w14:textFill>
                  <w14:solidFill>
                    <w14:schemeClr w14:val="tx1"/>
                  </w14:solidFill>
                </w14:textFill>
              </w:rPr>
              <w:t>来电</w:t>
            </w:r>
            <w:r>
              <w:rPr>
                <w:rFonts w:hint="eastAsia"/>
                <w:color w:val="000000" w:themeColor="text1"/>
                <w14:textFill>
                  <w14:solidFill>
                    <w14:schemeClr w14:val="tx1"/>
                  </w14:solidFill>
                </w14:textFill>
              </w:rPr>
              <w:t>数据统计，通话列表至少包括</w:t>
            </w:r>
            <w:r>
              <w:rPr>
                <w:color w:val="000000" w:themeColor="text1"/>
                <w14:textFill>
                  <w14:solidFill>
                    <w14:schemeClr w14:val="tx1"/>
                  </w14:solidFill>
                </w14:textFill>
              </w:rPr>
              <w:t>来电时间</w:t>
            </w:r>
            <w:r>
              <w:rPr>
                <w:rFonts w:hint="eastAsia"/>
                <w:color w:val="000000" w:themeColor="text1"/>
                <w14:textFill>
                  <w14:solidFill>
                    <w14:schemeClr w14:val="tx1"/>
                  </w14:solidFill>
                </w14:textFill>
              </w:rPr>
              <w:t>、</w:t>
            </w:r>
            <w:r>
              <w:rPr>
                <w:color w:val="000000" w:themeColor="text1"/>
                <w14:textFill>
                  <w14:solidFill>
                    <w14:schemeClr w14:val="tx1"/>
                  </w14:solidFill>
                </w14:textFill>
              </w:rPr>
              <w:t>号码</w:t>
            </w:r>
            <w:r>
              <w:rPr>
                <w:rFonts w:hint="eastAsia"/>
                <w:color w:val="000000" w:themeColor="text1"/>
                <w14:textFill>
                  <w14:solidFill>
                    <w14:schemeClr w14:val="tx1"/>
                  </w14:solidFill>
                </w14:textFill>
              </w:rPr>
              <w:t>、</w:t>
            </w:r>
            <w:r>
              <w:rPr>
                <w:color w:val="000000" w:themeColor="text1"/>
                <w14:textFill>
                  <w14:solidFill>
                    <w14:schemeClr w14:val="tx1"/>
                  </w14:solidFill>
                </w14:textFill>
              </w:rPr>
              <w:t>科室</w:t>
            </w:r>
            <w:r>
              <w:rPr>
                <w:rFonts w:hint="eastAsia"/>
                <w:color w:val="000000" w:themeColor="text1"/>
                <w14:textFill>
                  <w14:solidFill>
                    <w14:schemeClr w14:val="tx1"/>
                  </w14:solidFill>
                </w14:textFill>
              </w:rPr>
              <w:t>、</w:t>
            </w:r>
            <w:r>
              <w:rPr>
                <w:color w:val="000000" w:themeColor="text1"/>
                <w14:textFill>
                  <w14:solidFill>
                    <w14:schemeClr w14:val="tx1"/>
                  </w14:solidFill>
                </w14:textFill>
              </w:rPr>
              <w:t>接听状态</w:t>
            </w:r>
            <w:r>
              <w:rPr>
                <w:rFonts w:hint="eastAsia"/>
                <w:color w:val="000000" w:themeColor="text1"/>
                <w14:textFill>
                  <w14:solidFill>
                    <w14:schemeClr w14:val="tx1"/>
                  </w14:solidFill>
                </w14:textFill>
              </w:rPr>
              <w:t>、</w:t>
            </w:r>
            <w:r>
              <w:rPr>
                <w:color w:val="000000" w:themeColor="text1"/>
                <w14:textFill>
                  <w14:solidFill>
                    <w14:schemeClr w14:val="tx1"/>
                  </w14:solidFill>
                </w14:textFill>
              </w:rPr>
              <w:t>处理状态</w:t>
            </w:r>
            <w:r>
              <w:rPr>
                <w:rFonts w:hint="eastAsia"/>
                <w:color w:val="000000" w:themeColor="text1"/>
                <w14:textFill>
                  <w14:solidFill>
                    <w14:schemeClr w14:val="tx1"/>
                  </w14:solidFill>
                </w14:textFill>
              </w:rPr>
              <w:t>等，呼叫记录与工单关联，可直观显示工单完成状态，并可查看的工单详情，支持</w:t>
            </w:r>
            <w:r>
              <w:rPr>
                <w:color w:val="000000" w:themeColor="text1"/>
                <w14:textFill>
                  <w14:solidFill>
                    <w14:schemeClr w14:val="tx1"/>
                  </w14:solidFill>
                </w14:textFill>
              </w:rPr>
              <w:t>多条件进行聚合筛选/搜索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restart"/>
            <w:vAlign w:val="center"/>
          </w:tcPr>
          <w:p>
            <w:pPr>
              <w:spacing w:before="72"/>
              <w:jc w:val="center"/>
            </w:pPr>
            <w:r>
              <w:rPr>
                <w:rFonts w:hint="eastAsia"/>
              </w:rPr>
              <w:t>4</w:t>
            </w:r>
          </w:p>
        </w:tc>
        <w:tc>
          <w:tcPr>
            <w:tcW w:w="1276" w:type="dxa"/>
            <w:vMerge w:val="restart"/>
            <w:vAlign w:val="center"/>
          </w:tcPr>
          <w:p>
            <w:pPr>
              <w:spacing w:before="72"/>
              <w:jc w:val="center"/>
            </w:pPr>
            <w:r>
              <w:rPr>
                <w:rFonts w:hint="eastAsia"/>
              </w:rPr>
              <w:t>工单管理</w:t>
            </w:r>
          </w:p>
        </w:tc>
        <w:tc>
          <w:tcPr>
            <w:tcW w:w="7614" w:type="dxa"/>
          </w:tcPr>
          <w:p>
            <w:pPr>
              <w:spacing w:before="72"/>
              <w:rPr>
                <w:rFonts w:cs="Segoe UI"/>
                <w:color w:val="000000" w:themeColor="text1"/>
                <w14:textFill>
                  <w14:solidFill>
                    <w14:schemeClr w14:val="tx1"/>
                  </w14:solidFill>
                </w14:textFill>
              </w:rPr>
            </w:pPr>
            <w:r>
              <w:rPr>
                <w:rFonts w:hint="eastAsia"/>
                <w:color w:val="000000" w:themeColor="text1"/>
                <w14:textFill>
                  <w14:solidFill>
                    <w14:schemeClr w14:val="tx1"/>
                  </w14:solidFill>
                </w14:textFill>
              </w:rPr>
              <w:t>★</w:t>
            </w:r>
            <w:r>
              <w:rPr>
                <w:rFonts w:cs="Segoe UI"/>
                <w:color w:val="000000" w:themeColor="text1"/>
                <w14:textFill>
                  <w14:solidFill>
                    <w14:schemeClr w14:val="tx1"/>
                  </w14:solidFill>
                </w14:textFill>
              </w:rPr>
              <w:t>支持电话、扫码、小程序、钉钉、Web等多渠道工单统一展示和管理，</w:t>
            </w:r>
            <w:r>
              <w:rPr>
                <w:rFonts w:hint="eastAsia" w:cs="Segoe UI"/>
                <w:color w:val="000000" w:themeColor="text1"/>
                <w14:textFill>
                  <w14:solidFill>
                    <w14:schemeClr w14:val="tx1"/>
                  </w14:solidFill>
                </w14:textFill>
              </w:rPr>
              <w:t>并可按照“待处理、处理中、</w:t>
            </w:r>
            <w:r>
              <w:rPr>
                <w:rFonts w:cs="Segoe UI"/>
                <w:color w:val="000000" w:themeColor="text1"/>
                <w14:textFill>
                  <w14:solidFill>
                    <w14:schemeClr w14:val="tx1"/>
                  </w14:solidFill>
                </w14:textFill>
              </w:rPr>
              <w:t>挂起中</w:t>
            </w:r>
            <w:r>
              <w:rPr>
                <w:rFonts w:hint="eastAsia" w:cs="Segoe UI"/>
                <w:color w:val="000000" w:themeColor="text1"/>
                <w14:textFill>
                  <w14:solidFill>
                    <w14:schemeClr w14:val="tx1"/>
                  </w14:solidFill>
                </w14:textFill>
              </w:rPr>
              <w:t>、</w:t>
            </w:r>
            <w:r>
              <w:rPr>
                <w:rFonts w:cs="Segoe UI"/>
                <w:color w:val="000000" w:themeColor="text1"/>
                <w14:textFill>
                  <w14:solidFill>
                    <w14:schemeClr w14:val="tx1"/>
                  </w14:solidFill>
                </w14:textFill>
              </w:rPr>
              <w:t>已完成</w:t>
            </w:r>
            <w:r>
              <w:rPr>
                <w:rFonts w:hint="eastAsia" w:cs="Segoe UI"/>
                <w:color w:val="000000" w:themeColor="text1"/>
                <w14:textFill>
                  <w14:solidFill>
                    <w14:schemeClr w14:val="tx1"/>
                  </w14:solidFill>
                </w14:textFill>
              </w:rPr>
              <w:t>”等工单状态进行聚合管理，对工单进行</w:t>
            </w:r>
            <w:r>
              <w:rPr>
                <w:rFonts w:cs="Segoe UI"/>
                <w:color w:val="000000" w:themeColor="text1"/>
                <w14:textFill>
                  <w14:solidFill>
                    <w14:schemeClr w14:val="tx1"/>
                  </w14:solidFill>
                </w14:textFill>
              </w:rPr>
              <w:t>“接单</w:t>
            </w:r>
            <w:r>
              <w:rPr>
                <w:rFonts w:hint="eastAsia" w:cs="Segoe UI"/>
                <w:color w:val="000000" w:themeColor="text1"/>
                <w14:textFill>
                  <w14:solidFill>
                    <w14:schemeClr w14:val="tx1"/>
                  </w14:solidFill>
                </w14:textFill>
              </w:rPr>
              <w:t>、</w:t>
            </w:r>
            <w:r>
              <w:rPr>
                <w:rFonts w:cs="Segoe UI"/>
                <w:color w:val="000000" w:themeColor="text1"/>
                <w14:textFill>
                  <w14:solidFill>
                    <w14:schemeClr w14:val="tx1"/>
                  </w14:solidFill>
                </w14:textFill>
              </w:rPr>
              <w:t>转单</w:t>
            </w:r>
            <w:r>
              <w:rPr>
                <w:rFonts w:hint="eastAsia" w:cs="Segoe UI"/>
                <w:color w:val="000000" w:themeColor="text1"/>
                <w14:textFill>
                  <w14:solidFill>
                    <w14:schemeClr w14:val="tx1"/>
                  </w14:solidFill>
                </w14:textFill>
              </w:rPr>
              <w:t>、</w:t>
            </w:r>
            <w:r>
              <w:rPr>
                <w:rFonts w:cs="Segoe UI"/>
                <w:color w:val="000000" w:themeColor="text1"/>
                <w14:textFill>
                  <w14:solidFill>
                    <w14:schemeClr w14:val="tx1"/>
                  </w14:solidFill>
                </w14:textFill>
              </w:rPr>
              <w:t>删除”</w:t>
            </w:r>
            <w:r>
              <w:rPr>
                <w:rFonts w:hint="eastAsia" w:cs="Segoe UI"/>
                <w:color w:val="000000" w:themeColor="text1"/>
                <w14:textFill>
                  <w14:solidFill>
                    <w14:schemeClr w14:val="tx1"/>
                  </w14:solidFill>
                </w14:textFill>
              </w:rPr>
              <w:t>等快捷操作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tcPr>
          <w:p>
            <w:pPr>
              <w:spacing w:before="72"/>
            </w:pPr>
            <w:r>
              <w:rPr>
                <w:rFonts w:hint="eastAsia"/>
                <w:color w:val="000000" w:themeColor="text1"/>
                <w14:textFill>
                  <w14:solidFill>
                    <w14:schemeClr w14:val="tx1"/>
                  </w14:solidFill>
                </w14:textFill>
              </w:rPr>
              <w:t>★</w:t>
            </w:r>
            <w:r>
              <w:rPr>
                <w:rFonts w:hint="eastAsia"/>
              </w:rPr>
              <w:t>工单列表支持统计</w:t>
            </w:r>
            <w:r>
              <w:t>从报修到处理完成所耗费的时长，</w:t>
            </w:r>
            <w:r>
              <w:rPr>
                <w:rFonts w:hint="eastAsia"/>
              </w:rPr>
              <w:t>并</w:t>
            </w:r>
            <w:r>
              <w:t>以醒目的颜色和计时方式呈现，方便直观了解每个工单的处理效率。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tcPr>
          <w:p>
            <w:pPr>
              <w:spacing w:before="72"/>
            </w:pPr>
            <w:r>
              <w:rPr>
                <w:rFonts w:hint="eastAsia" w:cs="Segoe UI"/>
                <w:color w:val="000000" w:themeColor="text1"/>
                <w:shd w:val="clear" w:color="auto" w:fill="FFFFFF"/>
                <w14:textFill>
                  <w14:solidFill>
                    <w14:schemeClr w14:val="tx1"/>
                  </w14:solidFill>
                </w14:textFill>
              </w:rPr>
              <w:t>支持查</w:t>
            </w:r>
            <w:r>
              <w:rPr>
                <w:rFonts w:cs="Segoe UI"/>
                <w:color w:val="000000" w:themeColor="text1"/>
                <w:shd w:val="clear" w:color="auto" w:fill="FFFFFF"/>
                <w14:textFill>
                  <w14:solidFill>
                    <w14:schemeClr w14:val="tx1"/>
                  </w14:solidFill>
                </w14:textFill>
              </w:rPr>
              <w:t>看工单的完整处理流程，包括各个环节的时间、记录等，全面了解工单的进展情况</w:t>
            </w:r>
            <w:r>
              <w:rPr>
                <w:rFonts w:hint="eastAsia" w:cs="Segoe UI"/>
                <w:color w:val="000000" w:themeColor="text1"/>
                <w:shd w:val="clear" w:color="auto" w:fill="FFFFFF"/>
                <w14:textFill>
                  <w14:solidFill>
                    <w14:schemeClr w14:val="tx1"/>
                  </w14:solidFill>
                </w14:textFill>
              </w:rPr>
              <w:t>，并可通过</w:t>
            </w:r>
            <w:r>
              <w:rPr>
                <w:rFonts w:cs="Segoe UI"/>
                <w:color w:val="000000" w:themeColor="text1"/>
                <w:shd w:val="clear" w:color="auto" w:fill="FFFFFF"/>
                <w14:textFill>
                  <w14:solidFill>
                    <w14:schemeClr w14:val="tx1"/>
                  </w14:solidFill>
                </w14:textFill>
              </w:rPr>
              <w:t>电话、工单类型、时间等</w:t>
            </w:r>
            <w:r>
              <w:rPr>
                <w:rFonts w:hint="eastAsia" w:cs="Segoe UI"/>
                <w:color w:val="000000" w:themeColor="text1"/>
                <w:shd w:val="clear" w:color="auto" w:fill="FFFFFF"/>
                <w14:textFill>
                  <w14:solidFill>
                    <w14:schemeClr w14:val="tx1"/>
                  </w14:solidFill>
                </w14:textFill>
              </w:rPr>
              <w:t>多种方式进行</w:t>
            </w:r>
            <w:r>
              <w:rPr>
                <w:rFonts w:cs="Segoe UI"/>
                <w:color w:val="000000" w:themeColor="text1"/>
                <w:shd w:val="clear" w:color="auto" w:fill="FFFFFF"/>
                <w14:textFill>
                  <w14:solidFill>
                    <w14:schemeClr w14:val="tx1"/>
                  </w14:solidFill>
                </w14:textFill>
              </w:rPr>
              <w:t>进行聚合筛选/搜索</w:t>
            </w:r>
            <w:r>
              <w:rPr>
                <w:rFonts w:hint="eastAsia" w:cs="Segoe UI"/>
                <w:color w:val="000000" w:themeColor="text1"/>
                <w:shd w:val="clear" w:color="auto" w:fill="FFFFFF"/>
                <w14:textFill>
                  <w14:solidFill>
                    <w14:schemeClr w14:val="tx1"/>
                  </w14:solidFill>
                </w14:textFill>
              </w:rPr>
              <w:t>，</w:t>
            </w:r>
            <w:r>
              <w:rPr>
                <w:rFonts w:cs="Segoe UI"/>
                <w:color w:val="000000" w:themeColor="text1"/>
                <w:shd w:val="clear" w:color="auto" w:fill="FFFFFF"/>
                <w14:textFill>
                  <w14:solidFill>
                    <w14:schemeClr w14:val="tx1"/>
                  </w14:solidFill>
                </w14:textFill>
              </w:rPr>
              <w:t>方便快速找到</w:t>
            </w:r>
            <w:r>
              <w:rPr>
                <w:rFonts w:hint="eastAsia" w:cs="Segoe UI"/>
                <w:color w:val="000000" w:themeColor="text1"/>
                <w:shd w:val="clear" w:color="auto" w:fill="FFFFFF"/>
                <w14:textFill>
                  <w14:solidFill>
                    <w14:schemeClr w14:val="tx1"/>
                  </w14:solidFill>
                </w14:textFill>
              </w:rPr>
              <w:t>目标</w:t>
            </w:r>
            <w:r>
              <w:rPr>
                <w:rFonts w:cs="Segoe UI"/>
                <w:color w:val="000000" w:themeColor="text1"/>
                <w:shd w:val="clear" w:color="auto" w:fill="FFFFFF"/>
                <w14:textFill>
                  <w14:solidFill>
                    <w14:schemeClr w14:val="tx1"/>
                  </w14:solidFill>
                </w14:textFill>
              </w:rPr>
              <w:t>工单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tcPr>
          <w:p>
            <w:pPr>
              <w:spacing w:before="72"/>
            </w:pPr>
            <w:r>
              <w:rPr>
                <w:rFonts w:hint="eastAsia"/>
                <w:color w:val="000000" w:themeColor="text1"/>
                <w14:textFill>
                  <w14:solidFill>
                    <w14:schemeClr w14:val="tx1"/>
                  </w14:solidFill>
                </w14:textFill>
              </w:rPr>
              <w:t>★已完成工单</w:t>
            </w:r>
            <w:r>
              <w:rPr>
                <w:color w:val="000000" w:themeColor="text1"/>
                <w14:textFill>
                  <w14:solidFill>
                    <w14:schemeClr w14:val="tx1"/>
                  </w14:solidFill>
                </w14:textFill>
              </w:rPr>
              <w:t>可以</w:t>
            </w:r>
            <w:r>
              <w:rPr>
                <w:rFonts w:hint="eastAsia"/>
                <w:color w:val="000000" w:themeColor="text1"/>
                <w14:textFill>
                  <w14:solidFill>
                    <w14:schemeClr w14:val="tx1"/>
                  </w14:solidFill>
                </w14:textFill>
              </w:rPr>
              <w:t>持续</w:t>
            </w:r>
            <w:r>
              <w:rPr>
                <w:color w:val="000000" w:themeColor="text1"/>
                <w14:textFill>
                  <w14:solidFill>
                    <w14:schemeClr w14:val="tx1"/>
                  </w14:solidFill>
                </w14:textFill>
              </w:rPr>
              <w:t>补充或完善工单处理过程中的详细记录，便于后续追溯和经验总结</w:t>
            </w:r>
            <w:r>
              <w:rPr>
                <w:rFonts w:hint="eastAsia"/>
                <w:color w:val="000000" w:themeColor="text1"/>
                <w14:textFill>
                  <w14:solidFill>
                    <w14:schemeClr w14:val="tx1"/>
                  </w14:solidFill>
                </w14:textFill>
              </w:rPr>
              <w:t>，具备“回收站”功能统一管理删除工单，所有工单不允许彻底删除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restart"/>
            <w:vAlign w:val="center"/>
          </w:tcPr>
          <w:p>
            <w:pPr>
              <w:spacing w:before="72"/>
              <w:jc w:val="center"/>
            </w:pPr>
            <w:r>
              <w:rPr>
                <w:rFonts w:hint="eastAsia"/>
              </w:rPr>
              <w:t>5</w:t>
            </w:r>
          </w:p>
        </w:tc>
        <w:tc>
          <w:tcPr>
            <w:tcW w:w="1276" w:type="dxa"/>
            <w:vMerge w:val="restart"/>
            <w:vAlign w:val="center"/>
          </w:tcPr>
          <w:p>
            <w:pPr>
              <w:spacing w:before="72"/>
              <w:jc w:val="center"/>
            </w:pPr>
            <w:r>
              <w:rPr>
                <w:rFonts w:hint="eastAsia"/>
              </w:rPr>
              <w:t>需求管理</w:t>
            </w:r>
          </w:p>
        </w:tc>
        <w:tc>
          <w:tcPr>
            <w:tcW w:w="7614" w:type="dxa"/>
          </w:tcPr>
          <w:p>
            <w:pPr>
              <w:spacing w:before="72"/>
            </w:pPr>
            <w:r>
              <w:t>★</w:t>
            </w:r>
            <w:r>
              <w:rPr>
                <w:rFonts w:hint="eastAsia"/>
              </w:rPr>
              <w:t>支持</w:t>
            </w:r>
            <w:r>
              <w:t>用户手动录入新的运维需求，例如设备</w:t>
            </w:r>
            <w:r>
              <w:rPr>
                <w:rFonts w:hint="eastAsia"/>
              </w:rPr>
              <w:t>替换</w:t>
            </w:r>
            <w:r>
              <w:t>、安装、维修、需求讨论等相关内容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tcPr>
          <w:p>
            <w:pPr>
              <w:spacing w:before="72"/>
            </w:pPr>
            <w:r>
              <w:rPr>
                <w:rFonts w:hint="eastAsia"/>
                <w:color w:val="000000" w:themeColor="text1"/>
                <w14:textFill>
                  <w14:solidFill>
                    <w14:schemeClr w14:val="tx1"/>
                  </w14:solidFill>
                </w14:textFill>
              </w:rPr>
              <w:t>支持记录</w:t>
            </w:r>
            <w:r>
              <w:rPr>
                <w:rFonts w:cs="Segoe UI"/>
                <w:color w:val="000000" w:themeColor="text1"/>
                <w:shd w:val="clear" w:color="auto" w:fill="FFFFFF"/>
                <w14:textFill>
                  <w14:solidFill>
                    <w14:schemeClr w14:val="tx1"/>
                  </w14:solidFill>
                </w14:textFill>
              </w:rPr>
              <w:t>需求发起的科室、发起人、需求内容、原因、紧急程度、相关文件、接单人员以及指派负责人等信息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tcPr>
          <w:p>
            <w:pPr>
              <w:spacing w:before="72"/>
            </w:pPr>
            <w:r>
              <w:rPr>
                <w:rFonts w:cs="Segoe UI"/>
                <w:color w:val="000000" w:themeColor="text1"/>
                <w:shd w:val="clear" w:color="auto" w:fill="FFFFFF"/>
                <w14:textFill>
                  <w14:solidFill>
                    <w14:schemeClr w14:val="tx1"/>
                  </w14:solidFill>
                </w14:textFill>
              </w:rPr>
              <w:t>★</w:t>
            </w:r>
            <w:r>
              <w:rPr>
                <w:rFonts w:hint="eastAsia" w:cs="Segoe UI"/>
                <w:color w:val="000000" w:themeColor="text1"/>
                <w:shd w:val="clear" w:color="auto" w:fill="FFFFFF"/>
                <w14:textFill>
                  <w14:solidFill>
                    <w14:schemeClr w14:val="tx1"/>
                  </w14:solidFill>
                </w14:textFill>
              </w:rPr>
              <w:t>可直观</w:t>
            </w:r>
            <w:r>
              <w:rPr>
                <w:rFonts w:cs="Segoe UI"/>
                <w:color w:val="000000" w:themeColor="text1"/>
                <w:shd w:val="clear" w:color="auto" w:fill="FFFFFF"/>
                <w14:textFill>
                  <w14:solidFill>
                    <w14:schemeClr w14:val="tx1"/>
                  </w14:solidFill>
                </w14:textFill>
              </w:rPr>
              <w:t>展示平台</w:t>
            </w:r>
            <w:r>
              <w:rPr>
                <w:rFonts w:hint="eastAsia" w:cs="Segoe UI"/>
                <w:color w:val="000000" w:themeColor="text1"/>
                <w:shd w:val="clear" w:color="auto" w:fill="FFFFFF"/>
                <w14:textFill>
                  <w14:solidFill>
                    <w14:schemeClr w14:val="tx1"/>
                  </w14:solidFill>
                </w14:textFill>
              </w:rPr>
              <w:t>收到的</w:t>
            </w:r>
            <w:r>
              <w:rPr>
                <w:rFonts w:cs="Segoe UI"/>
                <w:color w:val="000000" w:themeColor="text1"/>
                <w:shd w:val="clear" w:color="auto" w:fill="FFFFFF"/>
                <w14:textFill>
                  <w14:solidFill>
                    <w14:schemeClr w14:val="tx1"/>
                  </w14:solidFill>
                </w14:textFill>
              </w:rPr>
              <w:t>全部需求，便于管理员或相关人员宏观把控整体需求情况</w:t>
            </w:r>
            <w:r>
              <w:rPr>
                <w:rFonts w:hint="eastAsia" w:cs="Segoe UI"/>
                <w:color w:val="000000" w:themeColor="text1"/>
                <w:shd w:val="clear" w:color="auto" w:fill="FFFFFF"/>
                <w14:textFill>
                  <w14:solidFill>
                    <w14:schemeClr w14:val="tx1"/>
                  </w14:solidFill>
                </w14:textFill>
              </w:rPr>
              <w:t>，并可</w:t>
            </w:r>
            <w:r>
              <w:rPr>
                <w:rFonts w:cs="Segoe UI"/>
                <w:color w:val="000000" w:themeColor="text1"/>
                <w:shd w:val="clear" w:color="auto" w:fill="FFFFFF"/>
                <w14:textFill>
                  <w14:solidFill>
                    <w14:schemeClr w14:val="tx1"/>
                  </w14:solidFill>
                </w14:textFill>
              </w:rPr>
              <w:t>通过科室、负责人、状态、任务内容等多条件进行精准搜索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tcPr>
          <w:p>
            <w:pPr>
              <w:spacing w:before="72"/>
              <w:rPr>
                <w:rFonts w:cs="Segoe UI"/>
                <w:color w:val="000000" w:themeColor="text1"/>
                <w:shd w:val="clear" w:color="auto" w:fill="FFFFFF"/>
                <w14:textFill>
                  <w14:solidFill>
                    <w14:schemeClr w14:val="tx1"/>
                  </w14:solidFill>
                </w14:textFill>
              </w:rPr>
            </w:pPr>
            <w:r>
              <w:rPr>
                <w:rFonts w:cs="Segoe UI"/>
                <w:color w:val="000000" w:themeColor="text1"/>
                <w:shd w:val="clear" w:color="auto" w:fill="FFFFFF"/>
                <w14:textFill>
                  <w14:solidFill>
                    <w14:schemeClr w14:val="tx1"/>
                  </w14:solidFill>
                </w14:textFill>
              </w:rPr>
              <w:t>★</w:t>
            </w:r>
            <w:r>
              <w:rPr>
                <w:rFonts w:hint="eastAsia" w:cs="Segoe UI"/>
                <w:color w:val="000000" w:themeColor="text1"/>
                <w:shd w:val="clear" w:color="auto" w:fill="FFFFFF"/>
                <w14:textFill>
                  <w14:solidFill>
                    <w14:schemeClr w14:val="tx1"/>
                  </w14:solidFill>
                </w14:textFill>
              </w:rPr>
              <w:t>支持分账号查看</w:t>
            </w:r>
            <w:r>
              <w:rPr>
                <w:rFonts w:cs="Segoe UI"/>
                <w:color w:val="000000" w:themeColor="text1"/>
                <w:shd w:val="clear" w:color="auto" w:fill="FFFFFF"/>
                <w14:textFill>
                  <w14:solidFill>
                    <w14:schemeClr w14:val="tx1"/>
                  </w14:solidFill>
                </w14:textFill>
              </w:rPr>
              <w:t>当前用户</w:t>
            </w:r>
            <w:r>
              <w:rPr>
                <w:rFonts w:hint="eastAsia" w:cs="Segoe UI"/>
                <w:color w:val="000000" w:themeColor="text1"/>
                <w:shd w:val="clear" w:color="auto" w:fill="FFFFFF"/>
                <w14:textFill>
                  <w14:solidFill>
                    <w14:schemeClr w14:val="tx1"/>
                  </w14:solidFill>
                </w14:textFill>
              </w:rPr>
              <w:t>名下</w:t>
            </w:r>
            <w:r>
              <w:rPr>
                <w:color w:val="000000" w:themeColor="text1"/>
                <w14:textFill>
                  <w14:solidFill>
                    <w14:schemeClr w14:val="tx1"/>
                  </w14:solidFill>
                </w14:textFill>
              </w:rPr>
              <w:t>提交的需求</w:t>
            </w:r>
            <w:r>
              <w:rPr>
                <w:rFonts w:hint="eastAsia"/>
                <w:color w:val="000000" w:themeColor="text1"/>
                <w14:textFill>
                  <w14:solidFill>
                    <w14:schemeClr w14:val="tx1"/>
                  </w14:solidFill>
                </w14:textFill>
              </w:rPr>
              <w:t>或</w:t>
            </w:r>
            <w:r>
              <w:rPr>
                <w:rFonts w:cs="Segoe UI"/>
                <w:color w:val="000000" w:themeColor="text1"/>
                <w:shd w:val="clear" w:color="auto" w:fill="FFFFFF"/>
                <w14:textFill>
                  <w14:solidFill>
                    <w14:schemeClr w14:val="tx1"/>
                  </w14:solidFill>
                </w14:textFill>
              </w:rPr>
              <w:t>负责处理的需求，方便用户</w:t>
            </w:r>
            <w:r>
              <w:rPr>
                <w:color w:val="000000" w:themeColor="text1"/>
                <w14:textFill>
                  <w14:solidFill>
                    <w14:schemeClr w14:val="tx1"/>
                  </w14:solidFill>
                </w14:textFill>
              </w:rPr>
              <w:t>跟踪自己所提需求的处理进度</w:t>
            </w:r>
            <w:r>
              <w:rPr>
                <w:rFonts w:hint="eastAsia"/>
                <w:color w:val="000000" w:themeColor="text1"/>
                <w14:textFill>
                  <w14:solidFill>
                    <w14:schemeClr w14:val="tx1"/>
                  </w14:solidFill>
                </w14:textFill>
              </w:rPr>
              <w:t>，</w:t>
            </w:r>
            <w:r>
              <w:rPr>
                <w:rFonts w:hint="eastAsia" w:cs="Segoe UI"/>
                <w:color w:val="000000" w:themeColor="text1"/>
                <w:shd w:val="clear" w:color="auto" w:fill="FFFFFF"/>
                <w14:textFill>
                  <w14:solidFill>
                    <w14:schemeClr w14:val="tx1"/>
                  </w14:solidFill>
                </w14:textFill>
              </w:rPr>
              <w:t>聚</w:t>
            </w:r>
            <w:r>
              <w:rPr>
                <w:rFonts w:cs="Segoe UI"/>
                <w:color w:val="000000" w:themeColor="text1"/>
                <w:shd w:val="clear" w:color="auto" w:fill="FFFFFF"/>
                <w14:textFill>
                  <w14:solidFill>
                    <w14:schemeClr w14:val="tx1"/>
                  </w14:solidFill>
                </w14:textFill>
              </w:rPr>
              <w:t>焦</w:t>
            </w:r>
            <w:r>
              <w:rPr>
                <w:rFonts w:hint="eastAsia" w:cs="Segoe UI"/>
                <w:color w:val="000000" w:themeColor="text1"/>
                <w:shd w:val="clear" w:color="auto" w:fill="FFFFFF"/>
                <w14:textFill>
                  <w14:solidFill>
                    <w14:schemeClr w14:val="tx1"/>
                  </w14:solidFill>
                </w14:textFill>
              </w:rPr>
              <w:t>跟进</w:t>
            </w:r>
            <w:r>
              <w:rPr>
                <w:rFonts w:cs="Segoe UI"/>
                <w:color w:val="000000" w:themeColor="text1"/>
                <w:shd w:val="clear" w:color="auto" w:fill="FFFFFF"/>
                <w14:textFill>
                  <w14:solidFill>
                    <w14:schemeClr w14:val="tx1"/>
                  </w14:solidFill>
                </w14:textFill>
              </w:rPr>
              <w:t>自己的工作任务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restart"/>
            <w:vAlign w:val="center"/>
          </w:tcPr>
          <w:p>
            <w:pPr>
              <w:spacing w:before="72"/>
              <w:jc w:val="center"/>
            </w:pPr>
            <w:r>
              <w:rPr>
                <w:rFonts w:hint="eastAsia"/>
              </w:rPr>
              <w:t>6</w:t>
            </w:r>
          </w:p>
        </w:tc>
        <w:tc>
          <w:tcPr>
            <w:tcW w:w="1276" w:type="dxa"/>
            <w:vMerge w:val="restart"/>
            <w:vAlign w:val="center"/>
          </w:tcPr>
          <w:p>
            <w:pPr>
              <w:spacing w:before="72"/>
              <w:jc w:val="center"/>
            </w:pPr>
            <w:r>
              <w:rPr>
                <w:rFonts w:hint="eastAsia"/>
              </w:rPr>
              <w:t>盘点巡检</w:t>
            </w:r>
          </w:p>
        </w:tc>
        <w:tc>
          <w:tcPr>
            <w:tcW w:w="7614" w:type="dxa"/>
          </w:tcPr>
          <w:p>
            <w:pPr>
              <w:spacing w:before="72"/>
            </w:pPr>
            <w:r>
              <w:rPr>
                <w:rFonts w:cs="Segoe UI"/>
                <w:color w:val="000000" w:themeColor="text1"/>
                <w:shd w:val="clear" w:color="auto" w:fill="FFFFFF"/>
                <w14:textFill>
                  <w14:solidFill>
                    <w14:schemeClr w14:val="tx1"/>
                  </w14:solidFill>
                </w14:textFill>
              </w:rPr>
              <w:t>★</w:t>
            </w:r>
            <w:r>
              <w:rPr>
                <w:rFonts w:hint="eastAsia"/>
                <w:color w:val="000000" w:themeColor="text1"/>
                <w14:textFill>
                  <w14:solidFill>
                    <w14:schemeClr w14:val="tx1"/>
                  </w14:solidFill>
                </w14:textFill>
              </w:rPr>
              <w:t>可根据实际需求自定义巡检指标并保存、复用，自定义巡检计划，指定负责人，到期提醒并下发任务到负责人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tcPr>
          <w:p>
            <w:pPr>
              <w:spacing w:before="72"/>
              <w:rPr>
                <w:color w:val="000000" w:themeColor="text1"/>
                <w14:textFill>
                  <w14:solidFill>
                    <w14:schemeClr w14:val="tx1"/>
                  </w14:solidFill>
                </w14:textFill>
              </w:rPr>
            </w:pPr>
            <w:r>
              <w:rPr>
                <w:rFonts w:hint="eastAsia" w:cs="Segoe UI"/>
                <w:color w:val="000000" w:themeColor="text1"/>
                <w:kern w:val="0"/>
                <w:shd w:val="clear" w:color="auto" w:fill="FFFFFF"/>
                <w14:textFill>
                  <w14:solidFill>
                    <w14:schemeClr w14:val="tx1"/>
                  </w14:solidFill>
                </w14:textFill>
              </w:rPr>
              <w:t>★</w:t>
            </w:r>
            <w:r>
              <w:rPr>
                <w:rFonts w:hint="eastAsia"/>
                <w:color w:val="000000" w:themeColor="text1"/>
                <w14:textFill>
                  <w14:solidFill>
                    <w14:schemeClr w14:val="tx1"/>
                  </w14:solidFill>
                </w14:textFill>
              </w:rPr>
              <w:t>支持查看盘点及巡检记录，盘点信息包括修改前后的信息记录、</w:t>
            </w:r>
            <w:r>
              <w:rPr>
                <w:color w:val="000000" w:themeColor="text1"/>
                <w14:textFill>
                  <w14:solidFill>
                    <w14:schemeClr w14:val="tx1"/>
                  </w14:solidFill>
                </w14:textFill>
              </w:rPr>
              <w:t>盘点人</w:t>
            </w:r>
            <w:r>
              <w:rPr>
                <w:rFonts w:hint="eastAsia"/>
                <w:color w:val="000000" w:themeColor="text1"/>
                <w14:textFill>
                  <w14:solidFill>
                    <w14:schemeClr w14:val="tx1"/>
                  </w14:solidFill>
                </w14:textFill>
              </w:rPr>
              <w:t>、盘</w:t>
            </w:r>
            <w:r>
              <w:rPr>
                <w:color w:val="000000" w:themeColor="text1"/>
                <w14:textFill>
                  <w14:solidFill>
                    <w14:schemeClr w14:val="tx1"/>
                  </w14:solidFill>
                </w14:textFill>
              </w:rPr>
              <w:t>点时间</w:t>
            </w:r>
            <w:r>
              <w:rPr>
                <w:rFonts w:hint="eastAsia"/>
                <w:color w:val="000000" w:themeColor="text1"/>
                <w14:textFill>
                  <w14:solidFill>
                    <w14:schemeClr w14:val="tx1"/>
                  </w14:solidFill>
                </w14:textFill>
              </w:rPr>
              <w:t>等，未做任何信息修改也要求记录盘点信息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tcPr>
          <w:p>
            <w:pPr>
              <w:spacing w:before="72"/>
              <w:rPr>
                <w:color w:val="000000" w:themeColor="text1"/>
                <w14:textFill>
                  <w14:solidFill>
                    <w14:schemeClr w14:val="tx1"/>
                  </w14:solidFill>
                </w14:textFill>
              </w:rPr>
            </w:pPr>
            <w:r>
              <w:rPr>
                <w:rFonts w:cs="Segoe UI"/>
                <w:color w:val="000000" w:themeColor="text1"/>
                <w:shd w:val="clear" w:color="auto" w:fill="FFFFFF"/>
                <w14:textFill>
                  <w14:solidFill>
                    <w14:schemeClr w14:val="tx1"/>
                  </w14:solidFill>
                </w14:textFill>
              </w:rPr>
              <w:t>在巡检记录列表中，详细呈现每条巡检信息，包括</w:t>
            </w:r>
            <w:r>
              <w:rPr>
                <w:color w:val="000000" w:themeColor="text1"/>
                <w14:textFill>
                  <w14:solidFill>
                    <w14:schemeClr w14:val="tx1"/>
                  </w14:solidFill>
                </w14:textFill>
              </w:rPr>
              <w:t>序号</w:t>
            </w:r>
            <w:r>
              <w:rPr>
                <w:rFonts w:hint="eastAsia"/>
                <w:color w:val="000000" w:themeColor="text1"/>
                <w14:textFill>
                  <w14:solidFill>
                    <w14:schemeClr w14:val="tx1"/>
                  </w14:solidFill>
                </w14:textFill>
              </w:rPr>
              <w:t>、</w:t>
            </w:r>
            <w:r>
              <w:rPr>
                <w:color w:val="000000" w:themeColor="text1"/>
                <w14:textFill>
                  <w14:solidFill>
                    <w14:schemeClr w14:val="tx1"/>
                  </w14:solidFill>
                </w14:textFill>
              </w:rPr>
              <w:t>巡检设备</w:t>
            </w:r>
            <w:r>
              <w:rPr>
                <w:rFonts w:hint="eastAsia"/>
                <w:color w:val="000000" w:themeColor="text1"/>
                <w14:textFill>
                  <w14:solidFill>
                    <w14:schemeClr w14:val="tx1"/>
                  </w14:solidFill>
                </w14:textFill>
              </w:rPr>
              <w:t>、</w:t>
            </w:r>
            <w:r>
              <w:rPr>
                <w:color w:val="000000" w:themeColor="text1"/>
                <w14:textFill>
                  <w14:solidFill>
                    <w14:schemeClr w14:val="tx1"/>
                  </w14:solidFill>
                </w14:textFill>
              </w:rPr>
              <w:t>巡检内容</w:t>
            </w:r>
            <w:r>
              <w:rPr>
                <w:rFonts w:hint="eastAsia"/>
                <w:color w:val="000000" w:themeColor="text1"/>
                <w14:textFill>
                  <w14:solidFill>
                    <w14:schemeClr w14:val="tx1"/>
                  </w14:solidFill>
                </w14:textFill>
              </w:rPr>
              <w:t>、</w:t>
            </w:r>
            <w:r>
              <w:rPr>
                <w:color w:val="000000" w:themeColor="text1"/>
                <w14:textFill>
                  <w14:solidFill>
                    <w14:schemeClr w14:val="tx1"/>
                  </w14:solidFill>
                </w14:textFill>
              </w:rPr>
              <w:t>巡检凭证</w:t>
            </w:r>
            <w:r>
              <w:rPr>
                <w:rFonts w:hint="eastAsia"/>
                <w:color w:val="000000" w:themeColor="text1"/>
                <w14:textFill>
                  <w14:solidFill>
                    <w14:schemeClr w14:val="tx1"/>
                  </w14:solidFill>
                </w14:textFill>
              </w:rPr>
              <w:t>、</w:t>
            </w:r>
            <w:r>
              <w:rPr>
                <w:color w:val="000000" w:themeColor="text1"/>
                <w14:textFill>
                  <w14:solidFill>
                    <w14:schemeClr w14:val="tx1"/>
                  </w14:solidFill>
                </w14:textFill>
              </w:rPr>
              <w:t>异常情况</w:t>
            </w:r>
            <w:r>
              <w:rPr>
                <w:rFonts w:hint="eastAsia"/>
                <w:color w:val="000000" w:themeColor="text1"/>
                <w14:textFill>
                  <w14:solidFill>
                    <w14:schemeClr w14:val="tx1"/>
                  </w14:solidFill>
                </w14:textFill>
              </w:rPr>
              <w:t>、</w:t>
            </w:r>
            <w:r>
              <w:rPr>
                <w:color w:val="000000" w:themeColor="text1"/>
                <w14:textFill>
                  <w14:solidFill>
                    <w14:schemeClr w14:val="tx1"/>
                  </w14:solidFill>
                </w14:textFill>
              </w:rPr>
              <w:t>负责人</w:t>
            </w:r>
            <w:r>
              <w:rPr>
                <w:rFonts w:hint="eastAsia"/>
                <w:color w:val="000000" w:themeColor="text1"/>
                <w14:textFill>
                  <w14:solidFill>
                    <w14:schemeClr w14:val="tx1"/>
                  </w14:solidFill>
                </w14:textFill>
              </w:rPr>
              <w:t>、</w:t>
            </w:r>
            <w:r>
              <w:rPr>
                <w:color w:val="000000" w:themeColor="text1"/>
                <w14:textFill>
                  <w14:solidFill>
                    <w14:schemeClr w14:val="tx1"/>
                  </w14:solidFill>
                </w14:textFill>
              </w:rPr>
              <w:t>巡检</w:t>
            </w:r>
            <w:r>
              <w:rPr>
                <w:rFonts w:hint="eastAsia"/>
                <w:color w:val="000000" w:themeColor="text1"/>
                <w14:textFill>
                  <w14:solidFill>
                    <w14:schemeClr w14:val="tx1"/>
                  </w14:solidFill>
                </w14:textFill>
              </w:rPr>
              <w:t>时间</w:t>
            </w:r>
            <w:r>
              <w:rPr>
                <w:rFonts w:hint="eastAsia" w:cs="Segoe UI"/>
                <w:color w:val="000000" w:themeColor="text1"/>
                <w:shd w:val="clear" w:color="auto" w:fill="FFFFFF"/>
                <w14:textFill>
                  <w14:solidFill>
                    <w14:schemeClr w14:val="tx1"/>
                  </w14:solidFill>
                </w14:textFill>
              </w:rPr>
              <w:t>等，</w:t>
            </w:r>
            <w:r>
              <w:rPr>
                <w:rFonts w:cs="Segoe UI"/>
                <w:color w:val="000000" w:themeColor="text1"/>
                <w:shd w:val="clear" w:color="auto" w:fill="FFFFFF"/>
                <w14:textFill>
                  <w14:solidFill>
                    <w14:schemeClr w14:val="tx1"/>
                  </w14:solidFill>
                </w14:textFill>
              </w:rPr>
              <w:t>可通过</w:t>
            </w:r>
            <w:r>
              <w:rPr>
                <w:rFonts w:hint="eastAsia" w:cs="Segoe UI"/>
                <w:color w:val="000000" w:themeColor="text1"/>
                <w:shd w:val="clear" w:color="auto" w:fill="FFFFFF"/>
                <w14:textFill>
                  <w14:solidFill>
                    <w14:schemeClr w14:val="tx1"/>
                  </w14:solidFill>
                </w14:textFill>
              </w:rPr>
              <w:t>时间、人员等维度筛选查找巡</w:t>
            </w:r>
            <w:r>
              <w:rPr>
                <w:rFonts w:cs="Segoe UI"/>
                <w:color w:val="000000" w:themeColor="text1"/>
                <w:shd w:val="clear" w:color="auto" w:fill="FFFFFF"/>
                <w14:textFill>
                  <w14:solidFill>
                    <w14:schemeClr w14:val="tx1"/>
                  </w14:solidFill>
                </w14:textFill>
              </w:rPr>
              <w:t>检任务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restart"/>
            <w:vAlign w:val="center"/>
          </w:tcPr>
          <w:p>
            <w:pPr>
              <w:spacing w:before="72"/>
              <w:jc w:val="center"/>
            </w:pPr>
            <w:r>
              <w:rPr>
                <w:rFonts w:hint="eastAsia"/>
              </w:rPr>
              <w:t>7</w:t>
            </w:r>
          </w:p>
        </w:tc>
        <w:tc>
          <w:tcPr>
            <w:tcW w:w="1276" w:type="dxa"/>
            <w:vMerge w:val="restart"/>
            <w:vAlign w:val="center"/>
          </w:tcPr>
          <w:p>
            <w:pPr>
              <w:spacing w:before="72"/>
              <w:jc w:val="center"/>
            </w:pPr>
            <w:r>
              <w:rPr>
                <w:rFonts w:hint="eastAsia"/>
              </w:rPr>
              <w:t>设备管理</w:t>
            </w:r>
          </w:p>
        </w:tc>
        <w:tc>
          <w:tcPr>
            <w:tcW w:w="7614" w:type="dxa"/>
          </w:tcPr>
          <w:p>
            <w:pPr>
              <w:spacing w:before="72"/>
            </w:pPr>
            <w:r>
              <w:rPr>
                <w:rFonts w:hint="eastAsia" w:cs="Segoe UI"/>
                <w:color w:val="000000" w:themeColor="text1"/>
                <w:kern w:val="0"/>
                <w:shd w:val="clear" w:color="auto" w:fill="FFFFFF"/>
                <w14:textFill>
                  <w14:solidFill>
                    <w14:schemeClr w14:val="tx1"/>
                  </w14:solidFill>
                </w14:textFill>
              </w:rPr>
              <w:t>★</w:t>
            </w:r>
            <w:r>
              <w:rPr>
                <w:rFonts w:hint="eastAsia"/>
              </w:rPr>
              <w:t>要求可通过RFID电子标签实现物联网管理，可通过PDA等移动终端进行便捷的盘点和巡检工作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tcPr>
          <w:p>
            <w:pPr>
              <w:spacing w:before="72"/>
              <w:rPr>
                <w:rFonts w:cs="Segoe UI"/>
                <w:color w:val="000000" w:themeColor="text1"/>
                <w:kern w:val="0"/>
                <w:shd w:val="clear" w:color="auto" w:fill="FFFFFF"/>
                <w14:textFill>
                  <w14:solidFill>
                    <w14:schemeClr w14:val="tx1"/>
                  </w14:solidFill>
                </w14:textFill>
              </w:rPr>
            </w:pPr>
            <w:r>
              <w:rPr>
                <w:rFonts w:hint="eastAsia" w:cs="Segoe UI"/>
                <w:color w:val="000000" w:themeColor="text1"/>
                <w:kern w:val="0"/>
                <w:shd w:val="clear" w:color="auto" w:fill="FFFFFF"/>
                <w14:textFill>
                  <w14:solidFill>
                    <w14:schemeClr w14:val="tx1"/>
                  </w14:solidFill>
                </w14:textFill>
              </w:rPr>
              <w:t>★具备“空码”功能，可批量生成无内容的“空码”标签，首次盘点可一次性实现贴标+信息录入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tcPr>
          <w:p>
            <w:pPr>
              <w:spacing w:before="72"/>
            </w:pPr>
            <w:r>
              <w:rPr>
                <w:rFonts w:hint="eastAsia"/>
              </w:rPr>
              <w:t>要求</w:t>
            </w:r>
            <w:r>
              <w:t>可对</w:t>
            </w:r>
            <w:r>
              <w:rPr>
                <w:rFonts w:hint="eastAsia"/>
              </w:rPr>
              <w:t>根据设备状态（</w:t>
            </w:r>
            <w:r>
              <w:t>使用中</w:t>
            </w:r>
            <w:r>
              <w:rPr>
                <w:rFonts w:hint="eastAsia"/>
              </w:rPr>
              <w:t>/</w:t>
            </w:r>
            <w:r>
              <w:t>库存中</w:t>
            </w:r>
            <w:r>
              <w:rPr>
                <w:rFonts w:hint="eastAsia"/>
              </w:rPr>
              <w:t>/</w:t>
            </w:r>
            <w:r>
              <w:t>已损坏</w:t>
            </w:r>
            <w:r>
              <w:rPr>
                <w:rFonts w:hint="eastAsia"/>
              </w:rPr>
              <w:t>/</w:t>
            </w:r>
            <w:r>
              <w:t>已报废等</w:t>
            </w:r>
            <w:r>
              <w:rPr>
                <w:rFonts w:hint="eastAsia"/>
              </w:rPr>
              <w:t>）对设备进</w:t>
            </w:r>
            <w:r>
              <w:t>行</w:t>
            </w:r>
            <w:r>
              <w:rPr>
                <w:rFonts w:hint="eastAsia"/>
              </w:rPr>
              <w:t>集中</w:t>
            </w:r>
            <w:r>
              <w:t>分类</w:t>
            </w:r>
            <w:r>
              <w:rPr>
                <w:rFonts w:hint="eastAsia"/>
              </w:rPr>
              <w:t>管理</w:t>
            </w:r>
            <w:r>
              <w:t>，</w:t>
            </w:r>
            <w:r>
              <w:rPr>
                <w:rFonts w:hint="eastAsia"/>
              </w:rPr>
              <w:t>并</w:t>
            </w:r>
            <w:r>
              <w:t>可对资产从入库、领用、维修、变更、损坏、报废等多维度进行全生命周期管理，详细记录设备盘点次数、时间及盘点的变动信息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tcPr>
          <w:p>
            <w:pPr>
              <w:spacing w:before="72"/>
            </w:pPr>
            <w:r>
              <w:rPr>
                <w:rFonts w:hint="eastAsia" w:cs="Segoe UI"/>
                <w:color w:val="000000" w:themeColor="text1"/>
                <w:kern w:val="0"/>
                <w:shd w:val="clear" w:color="auto" w:fill="FFFFFF"/>
                <w14:textFill>
                  <w14:solidFill>
                    <w14:schemeClr w14:val="tx1"/>
                  </w14:solidFill>
                </w14:textFill>
              </w:rPr>
              <w:t>★</w:t>
            </w:r>
            <w:r>
              <w:rPr>
                <w:rFonts w:hint="eastAsia"/>
              </w:rPr>
              <w:t>要求对资产类型、型号进行标准化、结构化管理，具备资产类型和型号的标准化设置功能，设备信息均需使用标准库中的字段信息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restart"/>
            <w:vAlign w:val="center"/>
          </w:tcPr>
          <w:p>
            <w:pPr>
              <w:spacing w:before="72"/>
              <w:jc w:val="center"/>
            </w:pPr>
            <w:r>
              <w:rPr>
                <w:rFonts w:hint="eastAsia"/>
              </w:rPr>
              <w:t>8</w:t>
            </w:r>
          </w:p>
        </w:tc>
        <w:tc>
          <w:tcPr>
            <w:tcW w:w="1276" w:type="dxa"/>
            <w:vMerge w:val="restart"/>
            <w:vAlign w:val="center"/>
          </w:tcPr>
          <w:p>
            <w:pPr>
              <w:spacing w:before="72"/>
              <w:jc w:val="center"/>
            </w:pPr>
            <w:r>
              <w:rPr>
                <w:rFonts w:hint="eastAsia"/>
              </w:rPr>
              <w:t>物资管理</w:t>
            </w:r>
          </w:p>
        </w:tc>
        <w:tc>
          <w:tcPr>
            <w:tcW w:w="7614" w:type="dxa"/>
          </w:tcPr>
          <w:p>
            <w:pPr>
              <w:spacing w:before="72"/>
            </w:pPr>
            <w:r>
              <w:rPr>
                <w:rFonts w:hint="eastAsia" w:cs="Segoe UI"/>
                <w:color w:val="000000" w:themeColor="text1"/>
                <w:kern w:val="0"/>
                <w:shd w:val="clear" w:color="auto" w:fill="FFFFFF"/>
                <w14:textFill>
                  <w14:solidFill>
                    <w14:schemeClr w14:val="tx1"/>
                  </w14:solidFill>
                </w14:textFill>
              </w:rPr>
              <w:t>★</w:t>
            </w:r>
            <w:r>
              <w:rPr>
                <w:color w:val="000000" w:themeColor="text1"/>
                <w14:textFill>
                  <w14:solidFill>
                    <w14:schemeClr w14:val="tx1"/>
                  </w14:solidFill>
                </w14:textFill>
              </w:rPr>
              <w:t>提供低值耗材的类商城展示平台，可</w:t>
            </w:r>
            <w:r>
              <w:rPr>
                <w:rFonts w:hint="eastAsia"/>
                <w:color w:val="000000" w:themeColor="text1"/>
                <w14:textFill>
                  <w14:solidFill>
                    <w14:schemeClr w14:val="tx1"/>
                  </w14:solidFill>
                </w14:textFill>
              </w:rPr>
              <w:t>分类索引，</w:t>
            </w:r>
            <w:r>
              <w:rPr>
                <w:color w:val="000000" w:themeColor="text1"/>
                <w14:textFill>
                  <w14:solidFill>
                    <w14:schemeClr w14:val="tx1"/>
                  </w14:solidFill>
                </w14:textFill>
              </w:rPr>
              <w:t>展示耗材图片、参数、适用机型等基础信息及库存数量、价格等</w:t>
            </w:r>
            <w:r>
              <w:rPr>
                <w:rFonts w:hint="eastAsia"/>
                <w:color w:val="000000" w:themeColor="text1"/>
                <w14:textFill>
                  <w14:solidFill>
                    <w14:schemeClr w14:val="tx1"/>
                  </w14:solidFill>
                </w14:textFill>
              </w:rPr>
              <w:t>，要求具备标准型号的公共仓库，以保障统计数据的清洁可用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tcPr>
          <w:p>
            <w:pPr>
              <w:spacing w:before="72"/>
            </w:pPr>
            <w:r>
              <w:rPr>
                <w:color w:val="000000" w:themeColor="text1"/>
                <w14:textFill>
                  <w14:solidFill>
                    <w14:schemeClr w14:val="tx1"/>
                  </w14:solidFill>
                </w14:textFill>
              </w:rPr>
              <w:t>可进行物资</w:t>
            </w:r>
            <w:r>
              <w:rPr>
                <w:rFonts w:hint="eastAsia"/>
                <w:color w:val="000000" w:themeColor="text1"/>
                <w14:textFill>
                  <w14:solidFill>
                    <w14:schemeClr w14:val="tx1"/>
                  </w14:solidFill>
                </w14:textFill>
              </w:rPr>
              <w:t>的出入库管理</w:t>
            </w:r>
            <w:r>
              <w:rPr>
                <w:color w:val="000000" w:themeColor="text1"/>
                <w14:textFill>
                  <w14:solidFill>
                    <w14:schemeClr w14:val="tx1"/>
                  </w14:solidFill>
                </w14:textFill>
              </w:rPr>
              <w:t>，</w:t>
            </w:r>
            <w:r>
              <w:rPr>
                <w:rFonts w:hint="eastAsia"/>
                <w:color w:val="000000" w:themeColor="text1"/>
                <w14:textFill>
                  <w14:solidFill>
                    <w14:schemeClr w14:val="tx1"/>
                  </w14:solidFill>
                </w14:textFill>
              </w:rPr>
              <w:t>支持</w:t>
            </w:r>
            <w:r>
              <w:rPr>
                <w:color w:val="000000" w:themeColor="text1"/>
                <w14:textFill>
                  <w14:solidFill>
                    <w14:schemeClr w14:val="tx1"/>
                  </w14:solidFill>
                </w14:textFill>
              </w:rPr>
              <w:t>将物资“加入补货清单”，</w:t>
            </w:r>
            <w:r>
              <w:rPr>
                <w:rFonts w:hint="eastAsia"/>
                <w:color w:val="000000" w:themeColor="text1"/>
                <w14:textFill>
                  <w14:solidFill>
                    <w14:schemeClr w14:val="tx1"/>
                  </w14:solidFill>
                </w14:textFill>
              </w:rPr>
              <w:t>并可</w:t>
            </w:r>
            <w:r>
              <w:rPr>
                <w:color w:val="000000" w:themeColor="text1"/>
                <w14:textFill>
                  <w14:solidFill>
                    <w14:schemeClr w14:val="tx1"/>
                  </w14:solidFill>
                </w14:textFill>
              </w:rPr>
              <w:t>查看和管理常用的补货物资列表，方便集中处理，提高补货效率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tcPr>
          <w:p>
            <w:pPr>
              <w:spacing w:before="72"/>
              <w:rPr>
                <w:color w:val="000000" w:themeColor="text1"/>
                <w14:textFill>
                  <w14:solidFill>
                    <w14:schemeClr w14:val="tx1"/>
                  </w14:solidFill>
                </w14:textFill>
              </w:rPr>
            </w:pPr>
            <w:r>
              <w:rPr>
                <w:rFonts w:hint="eastAsia" w:cs="Segoe UI"/>
                <w:color w:val="000000" w:themeColor="text1"/>
                <w:kern w:val="0"/>
                <w:shd w:val="clear" w:color="auto" w:fill="FFFFFF"/>
                <w14:textFill>
                  <w14:solidFill>
                    <w14:schemeClr w14:val="tx1"/>
                  </w14:solidFill>
                </w14:textFill>
              </w:rPr>
              <w:t>★</w:t>
            </w:r>
            <w:r>
              <w:rPr>
                <w:rFonts w:hint="eastAsia"/>
                <w:color w:val="000000" w:themeColor="text1"/>
                <w14:textFill>
                  <w14:solidFill>
                    <w14:schemeClr w14:val="tx1"/>
                  </w14:solidFill>
                </w14:textFill>
              </w:rPr>
              <w:t>可根据领用类型自定义审批流程，并进行</w:t>
            </w:r>
            <w:r>
              <w:rPr>
                <w:rFonts w:hint="eastAsia"/>
              </w:rPr>
              <w:t>闭环管理，记录包括</w:t>
            </w:r>
            <w:r>
              <w:t>核算科室</w:t>
            </w:r>
            <w:r>
              <w:rPr>
                <w:rFonts w:hint="eastAsia"/>
              </w:rPr>
              <w:t>、</w:t>
            </w:r>
            <w:r>
              <w:t>申请人</w:t>
            </w:r>
            <w:r>
              <w:rPr>
                <w:rFonts w:hint="eastAsia"/>
              </w:rPr>
              <w:t>、</w:t>
            </w:r>
            <w:r>
              <w:t>申请内容</w:t>
            </w:r>
            <w:r>
              <w:rPr>
                <w:rFonts w:hint="eastAsia"/>
              </w:rPr>
              <w:t>、</w:t>
            </w:r>
            <w:r>
              <w:t>签收图片</w:t>
            </w:r>
            <w:r>
              <w:rPr>
                <w:rFonts w:hint="eastAsia"/>
              </w:rPr>
              <w:t>、</w:t>
            </w:r>
            <w:r>
              <w:t>派送人</w:t>
            </w:r>
            <w:r>
              <w:rPr>
                <w:rFonts w:hint="eastAsia"/>
              </w:rPr>
              <w:t>、订单</w:t>
            </w:r>
            <w:r>
              <w:t>状态</w:t>
            </w:r>
            <w:r>
              <w:rPr>
                <w:rFonts w:hint="eastAsia"/>
              </w:rPr>
              <w:t>等详情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restart"/>
            <w:vAlign w:val="center"/>
          </w:tcPr>
          <w:p>
            <w:pPr>
              <w:spacing w:before="72"/>
              <w:jc w:val="center"/>
            </w:pPr>
            <w:r>
              <w:rPr>
                <w:rFonts w:hint="eastAsia"/>
              </w:rPr>
              <w:t>9</w:t>
            </w:r>
          </w:p>
        </w:tc>
        <w:tc>
          <w:tcPr>
            <w:tcW w:w="1276" w:type="dxa"/>
            <w:vMerge w:val="restart"/>
            <w:vAlign w:val="center"/>
          </w:tcPr>
          <w:p>
            <w:pPr>
              <w:spacing w:before="72"/>
              <w:jc w:val="center"/>
            </w:pPr>
            <w:r>
              <w:rPr>
                <w:rFonts w:hint="eastAsia"/>
              </w:rPr>
              <w:t>科室管理</w:t>
            </w:r>
          </w:p>
        </w:tc>
        <w:tc>
          <w:tcPr>
            <w:tcW w:w="7614" w:type="dxa"/>
          </w:tcPr>
          <w:p>
            <w:pPr>
              <w:spacing w:before="72"/>
            </w:pPr>
            <w:r>
              <w:rPr>
                <w:rFonts w:hint="eastAsia" w:cs="Segoe UI"/>
                <w:color w:val="000000" w:themeColor="text1"/>
                <w:kern w:val="0"/>
                <w:shd w:val="clear" w:color="auto" w:fill="FFFFFF"/>
                <w14:textFill>
                  <w14:solidFill>
                    <w14:schemeClr w14:val="tx1"/>
                  </w14:solidFill>
                </w14:textFill>
              </w:rPr>
              <w:t>★</w:t>
            </w:r>
            <w:r>
              <w:t>具备通讯录模块，支持与医院HIS系统或OA、钉钉进行无缝对接，医护人员、维修人员可以通过医院现有OA或钉钉发起报修和管理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tcPr>
          <w:p>
            <w:pPr>
              <w:spacing w:before="72"/>
            </w:pPr>
            <w:r>
              <w:rPr>
                <w:rFonts w:hint="eastAsia" w:cs="Segoe UI"/>
                <w:color w:val="000000" w:themeColor="text1"/>
                <w:kern w:val="0"/>
                <w:shd w:val="clear" w:color="auto" w:fill="FFFFFF"/>
                <w14:textFill>
                  <w14:solidFill>
                    <w14:schemeClr w14:val="tx1"/>
                  </w14:solidFill>
                </w14:textFill>
              </w:rPr>
              <w:t>★</w:t>
            </w:r>
            <w:r>
              <w:rPr>
                <w:rFonts w:hint="eastAsia"/>
              </w:rPr>
              <w:t>要求具备“核算科室”单独架构，运维服务过程中相关的设备、耗材、工单均可与核算科室对应关联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tcPr>
          <w:p>
            <w:pPr>
              <w:spacing w:before="72"/>
              <w:rPr>
                <w:rFonts w:cs="Segoe UI"/>
                <w:color w:val="000000" w:themeColor="text1"/>
                <w:kern w:val="0"/>
                <w:shd w:val="clear" w:color="auto" w:fill="FFFFFF"/>
                <w14:textFill>
                  <w14:solidFill>
                    <w14:schemeClr w14:val="tx1"/>
                  </w14:solidFill>
                </w14:textFill>
              </w:rPr>
            </w:pPr>
            <w:r>
              <w:rPr>
                <w:rFonts w:hint="eastAsia" w:cs="Segoe UI"/>
                <w:color w:val="000000" w:themeColor="text1"/>
                <w:kern w:val="0"/>
                <w:shd w:val="clear" w:color="auto" w:fill="FFFFFF"/>
                <w14:textFill>
                  <w14:solidFill>
                    <w14:schemeClr w14:val="tx1"/>
                  </w14:solidFill>
                </w14:textFill>
              </w:rPr>
              <w:t>要求通讯录</w:t>
            </w:r>
            <w:r>
              <w:rPr>
                <w:rFonts w:cs="Segoe UI"/>
                <w:color w:val="000000" w:themeColor="text1"/>
                <w:kern w:val="0"/>
                <w:shd w:val="clear" w:color="auto" w:fill="FFFFFF"/>
                <w14:textFill>
                  <w14:solidFill>
                    <w14:schemeClr w14:val="tx1"/>
                  </w14:solidFill>
                </w14:textFill>
              </w:rPr>
              <w:t>可根据</w:t>
            </w:r>
            <w:r>
              <w:rPr>
                <w:rFonts w:hint="eastAsia" w:cs="Segoe UI"/>
                <w:color w:val="000000" w:themeColor="text1"/>
                <w:kern w:val="0"/>
                <w:shd w:val="clear" w:color="auto" w:fill="FFFFFF"/>
                <w14:textFill>
                  <w14:solidFill>
                    <w14:schemeClr w14:val="tx1"/>
                  </w14:solidFill>
                </w14:textFill>
              </w:rPr>
              <w:t>医院的</w:t>
            </w:r>
            <w:r>
              <w:rPr>
                <w:rFonts w:cs="Segoe UI"/>
                <w:color w:val="000000" w:themeColor="text1"/>
                <w:kern w:val="0"/>
                <w:shd w:val="clear" w:color="auto" w:fill="FFFFFF"/>
                <w14:textFill>
                  <w14:solidFill>
                    <w14:schemeClr w14:val="tx1"/>
                  </w14:solidFill>
                </w14:textFill>
              </w:rPr>
              <w:t>实际架构进行层级管理、有明确的树状结构（父子级）；分字段</w:t>
            </w:r>
            <w:r>
              <w:rPr>
                <w:rFonts w:hint="eastAsia" w:cs="Segoe UI"/>
                <w:color w:val="000000" w:themeColor="text1"/>
                <w:kern w:val="0"/>
                <w:shd w:val="clear" w:color="auto" w:fill="FFFFFF"/>
                <w14:textFill>
                  <w14:solidFill>
                    <w14:schemeClr w14:val="tx1"/>
                  </w14:solidFill>
                </w14:textFill>
              </w:rPr>
              <w:t>、</w:t>
            </w:r>
            <w:r>
              <w:rPr>
                <w:rFonts w:cs="Segoe UI"/>
                <w:color w:val="000000" w:themeColor="text1"/>
                <w:kern w:val="0"/>
                <w:shd w:val="clear" w:color="auto" w:fill="FFFFFF"/>
                <w14:textFill>
                  <w14:solidFill>
                    <w14:schemeClr w14:val="tx1"/>
                  </w14:solidFill>
                </w14:textFill>
              </w:rPr>
              <w:t>结构化记录楼宇、楼层、房间号、电话等信息</w:t>
            </w:r>
            <w:r>
              <w:rPr>
                <w:rFonts w:hint="eastAsia" w:cs="Segoe UI"/>
                <w:color w:val="000000" w:themeColor="text1"/>
                <w:kern w:val="0"/>
                <w:shd w:val="clear" w:color="auto" w:fill="FFFFFF"/>
                <w14:textFill>
                  <w14:solidFill>
                    <w14:schemeClr w14:val="tx1"/>
                  </w14:solidFill>
                </w14:textFill>
              </w:rPr>
              <w:t>；</w:t>
            </w:r>
            <w:r>
              <w:t>支持自定义考勤组，并可按月度进行排班考勤，支持批量设置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tcPr>
          <w:p>
            <w:pPr>
              <w:spacing w:before="72"/>
            </w:pPr>
            <w:r>
              <w:rPr>
                <w:rFonts w:hint="eastAsia" w:cs="Segoe UI"/>
                <w:color w:val="000000" w:themeColor="text1"/>
                <w:kern w:val="0"/>
                <w:shd w:val="clear" w:color="auto" w:fill="FFFFFF"/>
                <w14:textFill>
                  <w14:solidFill>
                    <w14:schemeClr w14:val="tx1"/>
                  </w14:solidFill>
                </w14:textFill>
              </w:rPr>
              <w:t>★</w:t>
            </w:r>
            <w:r>
              <w:rPr>
                <w:rFonts w:hint="eastAsia"/>
              </w:rPr>
              <w:t>可对</w:t>
            </w:r>
            <w:r>
              <w:t>包括维修工单、耗材配送、盘点/巡检等</w:t>
            </w:r>
            <w:r>
              <w:rPr>
                <w:rFonts w:hint="eastAsia"/>
              </w:rPr>
              <w:t>服务过程中的对应时间节点设置</w:t>
            </w:r>
            <w:r>
              <w:t>绩效考核指标，</w:t>
            </w:r>
            <w:r>
              <w:rPr>
                <w:rFonts w:hint="eastAsia"/>
              </w:rPr>
              <w:t>自动计算服务绩效，</w:t>
            </w:r>
            <w:r>
              <w:t>绩效列表支持加减分详情查看。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restart"/>
            <w:vAlign w:val="center"/>
          </w:tcPr>
          <w:p>
            <w:pPr>
              <w:spacing w:before="72"/>
              <w:jc w:val="center"/>
            </w:pPr>
            <w:r>
              <w:rPr>
                <w:rFonts w:hint="eastAsia"/>
              </w:rPr>
              <w:t>10</w:t>
            </w:r>
          </w:p>
        </w:tc>
        <w:tc>
          <w:tcPr>
            <w:tcW w:w="1276" w:type="dxa"/>
            <w:vMerge w:val="restart"/>
            <w:vAlign w:val="center"/>
          </w:tcPr>
          <w:p>
            <w:pPr>
              <w:spacing w:before="72"/>
              <w:jc w:val="center"/>
            </w:pPr>
            <w:r>
              <w:rPr>
                <w:rFonts w:hint="eastAsia"/>
              </w:rPr>
              <w:t>数据报表</w:t>
            </w:r>
          </w:p>
        </w:tc>
        <w:tc>
          <w:tcPr>
            <w:tcW w:w="7614" w:type="dxa"/>
          </w:tcPr>
          <w:p>
            <w:pPr>
              <w:spacing w:before="72"/>
            </w:pPr>
            <w:r>
              <w:rPr>
                <w:rFonts w:hint="eastAsia" w:cs="Segoe UI"/>
                <w:color w:val="000000" w:themeColor="text1"/>
                <w:kern w:val="0"/>
                <w:shd w:val="clear" w:color="auto" w:fill="FFFFFF"/>
                <w14:textFill>
                  <w14:solidFill>
                    <w14:schemeClr w14:val="tx1"/>
                  </w14:solidFill>
                </w14:textFill>
              </w:rPr>
              <w:t>★</w:t>
            </w:r>
            <w:r>
              <w:rPr>
                <w:rFonts w:hint="eastAsia"/>
              </w:rPr>
              <w:t>要求可根据自定义时间段对</w:t>
            </w:r>
            <w:r>
              <w:t>人员效率、报修科室、报修时间段、报修渠道、报修类型、故障原因、工单处理时效、临床满意度等多维度</w:t>
            </w:r>
            <w:r>
              <w:rPr>
                <w:rFonts w:hint="eastAsia"/>
              </w:rPr>
              <w:t>进行</w:t>
            </w:r>
            <w:r>
              <w:t>数据化图表分析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tcPr>
          <w:p>
            <w:pPr>
              <w:spacing w:before="72"/>
            </w:pPr>
            <w:r>
              <w:rPr>
                <w:rFonts w:hint="eastAsia" w:cs="Segoe UI"/>
                <w:color w:val="000000" w:themeColor="text1"/>
                <w:kern w:val="0"/>
                <w:shd w:val="clear" w:color="auto" w:fill="FFFFFF"/>
                <w14:textFill>
                  <w14:solidFill>
                    <w14:schemeClr w14:val="tx1"/>
                  </w14:solidFill>
                </w14:textFill>
              </w:rPr>
              <w:t>★</w:t>
            </w:r>
            <w:r>
              <w:t>可通过大屏监控实时显示包括电话、工单、耗材情况、故障情况等数据展示</w:t>
            </w:r>
            <w:r>
              <w:rPr>
                <w:rFonts w:hint="eastAsia"/>
              </w:rPr>
              <w:t>，并</w:t>
            </w:r>
            <w:r>
              <w:t>可提供</w:t>
            </w:r>
            <w:r>
              <w:rPr>
                <w:rFonts w:hint="eastAsia"/>
              </w:rPr>
              <w:t>至少</w:t>
            </w:r>
            <w:r>
              <w:t>两种大屏监控</w:t>
            </w:r>
            <w:r>
              <w:rPr>
                <w:rFonts w:hint="eastAsia"/>
              </w:rPr>
              <w:t>样</w:t>
            </w:r>
            <w:r>
              <w:t>式选择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tcPr>
          <w:p>
            <w:pPr>
              <w:spacing w:before="72"/>
            </w:pPr>
            <w:r>
              <w:rPr>
                <w:rFonts w:hint="eastAsia" w:cs="Segoe UI"/>
                <w:color w:val="000000" w:themeColor="text1"/>
                <w:kern w:val="0"/>
                <w:shd w:val="clear" w:color="auto" w:fill="FFFFFF"/>
                <w14:textFill>
                  <w14:solidFill>
                    <w14:schemeClr w14:val="tx1"/>
                  </w14:solidFill>
                </w14:textFill>
              </w:rPr>
              <w:t>★</w:t>
            </w:r>
            <w:r>
              <w:rPr>
                <w:rFonts w:cs="Segoe UI"/>
                <w:color w:val="000000" w:themeColor="text1"/>
                <w:kern w:val="0"/>
                <w:shd w:val="clear" w:color="auto" w:fill="FFFFFF"/>
                <w14:textFill>
                  <w14:solidFill>
                    <w14:schemeClr w14:val="tx1"/>
                  </w14:solidFill>
                </w14:textFill>
              </w:rPr>
              <w:t>要求可自动提供月度服务报告，分别统计汇总服务人员情况、运维服务情况、设备及物资情况等；支持自定义时间统计</w:t>
            </w:r>
            <w:r>
              <w:rPr>
                <w:rFonts w:hint="eastAsia" w:cs="Segoe UI"/>
                <w:color w:val="000000" w:themeColor="text1"/>
                <w:kern w:val="0"/>
                <w:shd w:val="clear" w:color="auto" w:fill="FFFFFF"/>
                <w14:textFill>
                  <w14:solidFill>
                    <w14:schemeClr w14:val="tx1"/>
                  </w14:solidFill>
                </w14:textFill>
              </w:rPr>
              <w:t>和</w:t>
            </w:r>
            <w:r>
              <w:rPr>
                <w:rFonts w:cs="Segoe UI"/>
                <w:color w:val="000000" w:themeColor="text1"/>
                <w:kern w:val="0"/>
                <w:shd w:val="clear" w:color="auto" w:fill="FFFFFF"/>
                <w14:textFill>
                  <w14:solidFill>
                    <w14:schemeClr w14:val="tx1"/>
                  </w14:solidFill>
                </w14:textFill>
              </w:rPr>
              <w:t>导出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tcPr>
          <w:p>
            <w:pPr>
              <w:spacing w:before="72"/>
            </w:pPr>
            <w:r>
              <w:t>支持对科室、工单服务数、安装设备数、耗材领用数、合计服务次数、平均时效、满意度等多维度数据统计报表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tcPr>
          <w:p>
            <w:pPr>
              <w:spacing w:before="72"/>
            </w:pPr>
            <w:r>
              <w:rPr>
                <w:rFonts w:hint="eastAsia" w:cs="Segoe UI"/>
                <w:color w:val="000000" w:themeColor="text1"/>
                <w:kern w:val="0"/>
                <w:shd w:val="clear" w:color="auto" w:fill="FFFFFF"/>
                <w14:textFill>
                  <w14:solidFill>
                    <w14:schemeClr w14:val="tx1"/>
                  </w14:solidFill>
                </w14:textFill>
              </w:rPr>
              <w:t>★</w:t>
            </w:r>
            <w:r>
              <w:t>要求可根据医院财务核算科室按期自动输出成本核算报表，核算方式支持按设备、耗材及组合方式（设备耗材分别固定比例）三种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restart"/>
            <w:vAlign w:val="center"/>
          </w:tcPr>
          <w:p>
            <w:pPr>
              <w:spacing w:before="72"/>
              <w:jc w:val="center"/>
            </w:pPr>
            <w:r>
              <w:rPr>
                <w:rFonts w:hint="eastAsia"/>
              </w:rPr>
              <w:t>11</w:t>
            </w:r>
          </w:p>
        </w:tc>
        <w:tc>
          <w:tcPr>
            <w:tcW w:w="1276" w:type="dxa"/>
            <w:vMerge w:val="restart"/>
            <w:vAlign w:val="center"/>
          </w:tcPr>
          <w:p>
            <w:pPr>
              <w:spacing w:before="72"/>
              <w:jc w:val="center"/>
            </w:pPr>
            <w:r>
              <w:rPr>
                <w:rFonts w:hint="eastAsia"/>
              </w:rPr>
              <w:t>知识库</w:t>
            </w:r>
          </w:p>
        </w:tc>
        <w:tc>
          <w:tcPr>
            <w:tcW w:w="7614" w:type="dxa"/>
          </w:tcPr>
          <w:p>
            <w:pPr>
              <w:spacing w:before="72"/>
              <w:rPr>
                <w:rFonts w:cs="Segoe UI"/>
                <w:color w:val="000000" w:themeColor="text1"/>
                <w:kern w:val="0"/>
                <w:shd w:val="clear" w:color="auto" w:fill="FFFFFF"/>
                <w14:textFill>
                  <w14:solidFill>
                    <w14:schemeClr w14:val="tx1"/>
                  </w14:solidFill>
                </w14:textFill>
              </w:rPr>
            </w:pPr>
            <w:r>
              <w:rPr>
                <w:rFonts w:hint="eastAsia"/>
                <w:color w:val="000000" w:themeColor="text1"/>
                <w14:textFill>
                  <w14:solidFill>
                    <w14:schemeClr w14:val="tx1"/>
                  </w14:solidFill>
                </w14:textFill>
              </w:rPr>
              <w:t>可根据故障现象，预制处理方法或需要收集的报修信息等，也可根据医院常见问题梳理医院专属知识库，可在填写报修内容时自动链接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tcPr>
          <w:p>
            <w:pPr>
              <w:spacing w:before="72"/>
              <w:rPr>
                <w:rFonts w:cs="Segoe UI"/>
                <w:color w:val="000000" w:themeColor="text1"/>
                <w:kern w:val="0"/>
                <w:shd w:val="clear" w:color="auto" w:fill="FFFFFF"/>
                <w14:textFill>
                  <w14:solidFill>
                    <w14:schemeClr w14:val="tx1"/>
                  </w14:solidFill>
                </w14:textFill>
              </w:rPr>
            </w:pPr>
            <w:r>
              <w:rPr>
                <w:rFonts w:hint="eastAsia" w:cs="Segoe UI"/>
                <w:color w:val="000000" w:themeColor="text1"/>
                <w:kern w:val="0"/>
                <w:shd w:val="clear" w:color="auto" w:fill="FFFFFF"/>
                <w14:textFill>
                  <w14:solidFill>
                    <w14:schemeClr w14:val="tx1"/>
                  </w14:solidFill>
                </w14:textFill>
              </w:rPr>
              <w:t>★</w:t>
            </w:r>
            <w:r>
              <w:rPr>
                <w:rFonts w:hint="eastAsia"/>
                <w:color w:val="000000" w:themeColor="text1"/>
                <w14:textFill>
                  <w14:solidFill>
                    <w14:schemeClr w14:val="tx1"/>
                  </w14:solidFill>
                </w14:textFill>
              </w:rPr>
              <w:t>通过</w:t>
            </w:r>
            <w:r>
              <w:rPr>
                <w:color w:val="000000" w:themeColor="text1"/>
                <w14:textFill>
                  <w14:solidFill>
                    <w14:schemeClr w14:val="tx1"/>
                  </w14:solidFill>
                </w14:textFill>
              </w:rPr>
              <w:t>列表形式展示，</w:t>
            </w:r>
            <w:r>
              <w:rPr>
                <w:rFonts w:hint="eastAsia"/>
                <w:color w:val="000000" w:themeColor="text1"/>
                <w14:textFill>
                  <w14:solidFill>
                    <w14:schemeClr w14:val="tx1"/>
                  </w14:solidFill>
                </w14:textFill>
              </w:rPr>
              <w:t>支持对知识库进行</w:t>
            </w:r>
            <w:r>
              <w:rPr>
                <w:color w:val="000000" w:themeColor="text1"/>
                <w14:textFill>
                  <w14:solidFill>
                    <w14:schemeClr w14:val="tx1"/>
                  </w14:solidFill>
                </w14:textFill>
              </w:rPr>
              <w:t>编辑、点赞以及查看浏览量等操作，便于对服务相关信息进行管理和互动交流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tcPr>
          <w:p>
            <w:pPr>
              <w:spacing w:before="72"/>
              <w:rPr>
                <w:rFonts w:cs="Segoe UI"/>
                <w:color w:val="000000" w:themeColor="text1"/>
                <w:kern w:val="0"/>
                <w:shd w:val="clear" w:color="auto" w:fill="FFFFFF"/>
                <w14:textFill>
                  <w14:solidFill>
                    <w14:schemeClr w14:val="tx1"/>
                  </w14:solidFill>
                </w14:textFill>
              </w:rPr>
            </w:pPr>
            <w:r>
              <w:rPr>
                <w:rFonts w:hint="eastAsia" w:cs="Segoe UI"/>
                <w:color w:val="000000" w:themeColor="text1"/>
                <w:kern w:val="0"/>
                <w:shd w:val="clear" w:color="auto" w:fill="FFFFFF"/>
                <w14:textFill>
                  <w14:solidFill>
                    <w14:schemeClr w14:val="tx1"/>
                  </w14:solidFill>
                </w14:textFill>
              </w:rPr>
              <w:t>★</w:t>
            </w:r>
            <w:r>
              <w:rPr>
                <w:rFonts w:cs="Segoe UI"/>
                <w:color w:val="000000" w:themeColor="text1"/>
                <w:kern w:val="0"/>
                <w:shd w:val="clear" w:color="auto" w:fill="FFFFFF"/>
                <w14:textFill>
                  <w14:solidFill>
                    <w14:schemeClr w14:val="tx1"/>
                  </w14:solidFill>
                </w14:textFill>
              </w:rPr>
              <w:t>支持用户通过</w:t>
            </w:r>
            <w:r>
              <w:rPr>
                <w:rFonts w:hint="eastAsia" w:cs="Segoe UI"/>
                <w:color w:val="000000" w:themeColor="text1"/>
                <w:kern w:val="0"/>
                <w:shd w:val="clear" w:color="auto" w:fill="FFFFFF"/>
                <w14:textFill>
                  <w14:solidFill>
                    <w14:schemeClr w14:val="tx1"/>
                  </w14:solidFill>
                </w14:textFill>
              </w:rPr>
              <w:t>上传各类文件、驱动程序等资源上传</w:t>
            </w:r>
            <w:r>
              <w:rPr>
                <w:rFonts w:cs="Segoe UI"/>
                <w:color w:val="000000" w:themeColor="text1"/>
                <w:kern w:val="0"/>
                <w:shd w:val="clear" w:color="auto" w:fill="FFFFFF"/>
                <w14:textFill>
                  <w14:solidFill>
                    <w14:schemeClr w14:val="tx1"/>
                  </w14:solidFill>
                </w14:textFill>
              </w:rPr>
              <w:t>至服务器进行集中存储与管理</w:t>
            </w:r>
            <w:r>
              <w:rPr>
                <w:rFonts w:hint="eastAsia" w:cs="Segoe UI"/>
                <w:color w:val="000000" w:themeColor="text1"/>
                <w:kern w:val="0"/>
                <w:shd w:val="clear" w:color="auto" w:fill="FFFFFF"/>
                <w14:textFill>
                  <w14:solidFill>
                    <w14:schemeClr w14:val="tx1"/>
                  </w14:solidFill>
                </w14:textFill>
              </w:rPr>
              <w:t>，可通过web端快速下载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restart"/>
            <w:vAlign w:val="center"/>
          </w:tcPr>
          <w:p>
            <w:pPr>
              <w:spacing w:before="72"/>
              <w:jc w:val="center"/>
            </w:pPr>
            <w:r>
              <w:rPr>
                <w:rFonts w:hint="eastAsia"/>
              </w:rPr>
              <w:t>12</w:t>
            </w:r>
          </w:p>
        </w:tc>
        <w:tc>
          <w:tcPr>
            <w:tcW w:w="1276" w:type="dxa"/>
            <w:vMerge w:val="restart"/>
            <w:vAlign w:val="center"/>
          </w:tcPr>
          <w:p>
            <w:pPr>
              <w:spacing w:before="72"/>
              <w:jc w:val="center"/>
            </w:pPr>
            <w:r>
              <w:rPr>
                <w:rFonts w:hint="eastAsia"/>
              </w:rPr>
              <w:t>移动端</w:t>
            </w:r>
          </w:p>
        </w:tc>
        <w:tc>
          <w:tcPr>
            <w:tcW w:w="7614" w:type="dxa"/>
            <w:vAlign w:val="center"/>
          </w:tcPr>
          <w:p>
            <w:pPr>
              <w:spacing w:before="72"/>
            </w:pPr>
            <w:r>
              <w:rPr>
                <w:rFonts w:hint="eastAsia" w:cs="Segoe UI"/>
                <w:color w:val="000000" w:themeColor="text1"/>
                <w:kern w:val="0"/>
                <w:shd w:val="clear" w:color="auto" w:fill="FFFFFF"/>
                <w14:textFill>
                  <w14:solidFill>
                    <w14:schemeClr w14:val="tx1"/>
                  </w14:solidFill>
                </w14:textFill>
              </w:rPr>
              <w:t>★</w:t>
            </w:r>
            <w:r>
              <w:rPr>
                <w:rFonts w:hint="eastAsia"/>
              </w:rPr>
              <w:t>要求具备手机移动端功能，</w:t>
            </w:r>
            <w:r>
              <w:t>包括企业微信、钉钉、小程序等，</w:t>
            </w:r>
            <w:r>
              <w:rPr>
                <w:rFonts w:hint="eastAsia"/>
              </w:rPr>
              <w:t>可根据用户角色进行切换（工程师、用户）</w:t>
            </w:r>
            <w:r>
              <w:t>全流程支持移动端消息提醒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vAlign w:val="center"/>
          </w:tcPr>
          <w:p>
            <w:pPr>
              <w:spacing w:before="72"/>
            </w:pPr>
            <w:r>
              <w:rPr>
                <w:rFonts w:hint="eastAsia" w:cs="Segoe UI"/>
                <w:color w:val="000000" w:themeColor="text1"/>
                <w:kern w:val="0"/>
                <w:shd w:val="clear" w:color="auto" w:fill="FFFFFF"/>
                <w14:textFill>
                  <w14:solidFill>
                    <w14:schemeClr w14:val="tx1"/>
                  </w14:solidFill>
                </w14:textFill>
              </w:rPr>
              <w:t>★</w:t>
            </w:r>
            <w:r>
              <w:t>可通过扫码实现档案查询、故障报修、资产盘点、耗材申领</w:t>
            </w:r>
            <w:r>
              <w:rPr>
                <w:rFonts w:hint="eastAsia"/>
              </w:rPr>
              <w:t>、提需求</w:t>
            </w:r>
            <w:r>
              <w:t>等功能，并可通过手机端及管理后台查看审批流程进度、节点用时等申领审批信息</w:t>
            </w:r>
            <w:r>
              <w:rPr>
                <w:rFonts w:hint="eastAsia"/>
              </w:rPr>
              <w:t>，</w:t>
            </w:r>
            <w:r>
              <w:t>支持对报修、维修、故障原因常用语进行自定义设置</w:t>
            </w:r>
            <w:r>
              <w:rPr>
                <w:rFonts w:hint="eastAsia"/>
              </w:rPr>
              <w:t>，可进行个人信息、核算科室等设置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vAlign w:val="center"/>
          </w:tcPr>
          <w:p>
            <w:pPr>
              <w:spacing w:before="72"/>
            </w:pPr>
            <w:r>
              <w:rPr>
                <w:rFonts w:hint="eastAsia"/>
              </w:rPr>
              <w:t>用户端</w:t>
            </w:r>
            <w:r>
              <w:t>支持通过移动入口随时随地发起报修</w:t>
            </w:r>
            <w:r>
              <w:rPr>
                <w:rFonts w:hint="eastAsia"/>
              </w:rPr>
              <w:t>（至少包括手动新建、拍照、扫码等方式），</w:t>
            </w:r>
            <w:r>
              <w:t>工单完成后自动推送评价邀请，</w:t>
            </w:r>
            <w:r>
              <w:rPr>
                <w:rFonts w:hint="eastAsia"/>
              </w:rPr>
              <w:t>可</w:t>
            </w:r>
            <w:r>
              <w:t>通过点击消息进入</w:t>
            </w:r>
            <w:r>
              <w:rPr>
                <w:rFonts w:hint="eastAsia"/>
              </w:rPr>
              <w:t>查看</w:t>
            </w:r>
            <w:r>
              <w:t>工单</w:t>
            </w:r>
            <w:r>
              <w:rPr>
                <w:rFonts w:hint="eastAsia"/>
              </w:rPr>
              <w:t>详情，可查看工程师排班并电话联系工程师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vAlign w:val="center"/>
          </w:tcPr>
          <w:p>
            <w:pPr>
              <w:spacing w:before="72"/>
            </w:pPr>
            <w:r>
              <w:rPr>
                <w:rFonts w:hint="eastAsia" w:cs="Segoe UI"/>
                <w:color w:val="000000" w:themeColor="text1"/>
                <w:kern w:val="0"/>
                <w:shd w:val="clear" w:color="auto" w:fill="FFFFFF"/>
                <w14:textFill>
                  <w14:solidFill>
                    <w14:schemeClr w14:val="tx1"/>
                  </w14:solidFill>
                </w14:textFill>
              </w:rPr>
              <w:t>★</w:t>
            </w:r>
            <w:r>
              <w:rPr>
                <w:rFonts w:hint="eastAsia"/>
              </w:rPr>
              <w:t>用户端支持申领物资，</w:t>
            </w:r>
            <w:r>
              <w:t>可通过模糊搜索型号、参数或适用机型等找到对应耗材并可依此添加至申请单批量申领</w:t>
            </w:r>
            <w:r>
              <w:rPr>
                <w:rFonts w:hint="eastAsia"/>
              </w:rPr>
              <w:t>，历史申领过的耗材型号自动置顶高亮提醒，派送完成时可通过手机手写签收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vAlign w:val="center"/>
          </w:tcPr>
          <w:p>
            <w:pPr>
              <w:spacing w:before="72"/>
            </w:pPr>
            <w:r>
              <w:rPr>
                <w:rFonts w:hint="eastAsia" w:cs="Segoe UI"/>
                <w:color w:val="000000" w:themeColor="text1"/>
                <w:kern w:val="0"/>
                <w:shd w:val="clear" w:color="auto" w:fill="FFFFFF"/>
                <w14:textFill>
                  <w14:solidFill>
                    <w14:schemeClr w14:val="tx1"/>
                  </w14:solidFill>
                </w14:textFill>
              </w:rPr>
              <w:t>★</w:t>
            </w:r>
            <w:r>
              <w:rPr>
                <w:rFonts w:hint="eastAsia"/>
              </w:rPr>
              <w:t>工程师端可直观展示当前个人及团队的待办工单、待派送订单及每日的盘点和巡检任务完成情况，可通过扫码进行维修、盘点、巡检几设备的安装等操作，同时可</w:t>
            </w:r>
            <w:r>
              <w:t>自主新建工单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vAlign w:val="center"/>
          </w:tcPr>
          <w:p>
            <w:pPr>
              <w:spacing w:before="72"/>
            </w:pPr>
            <w:r>
              <w:rPr>
                <w:rFonts w:hint="eastAsia" w:cs="Segoe UI"/>
                <w:color w:val="000000" w:themeColor="text1"/>
                <w:kern w:val="0"/>
                <w:shd w:val="clear" w:color="auto" w:fill="FFFFFF"/>
                <w14:textFill>
                  <w14:solidFill>
                    <w14:schemeClr w14:val="tx1"/>
                  </w14:solidFill>
                </w14:textFill>
              </w:rPr>
              <w:t>★</w:t>
            </w:r>
            <w:r>
              <w:rPr>
                <w:rFonts w:hint="eastAsia"/>
              </w:rPr>
              <w:t>工程师端个人主页可统计当前个人或团队绩</w:t>
            </w:r>
            <w:r>
              <w:t>效</w:t>
            </w:r>
            <w:r>
              <w:rPr>
                <w:rFonts w:hint="eastAsia"/>
              </w:rPr>
              <w:t>完成情况，包括</w:t>
            </w:r>
            <w:r>
              <w:t>工单</w:t>
            </w:r>
            <w:r>
              <w:rPr>
                <w:rFonts w:hint="eastAsia"/>
              </w:rPr>
              <w:t>、</w:t>
            </w:r>
            <w:r>
              <w:t>盘点</w:t>
            </w:r>
            <w:r>
              <w:rPr>
                <w:rFonts w:hint="eastAsia"/>
              </w:rPr>
              <w:t>、</w:t>
            </w:r>
            <w:r>
              <w:t>巡检</w:t>
            </w:r>
            <w:r>
              <w:rPr>
                <w:rFonts w:hint="eastAsia"/>
              </w:rPr>
              <w:t>、</w:t>
            </w:r>
            <w:r>
              <w:t>巡检</w:t>
            </w:r>
            <w:r>
              <w:rPr>
                <w:rFonts w:hint="eastAsia"/>
              </w:rPr>
              <w:t>等服务内容的完成情况和绩效得分、排名；支持自动生成服务日志，内容包括工单类型、数量、处理结果等，可查看工单详情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restart"/>
            <w:vAlign w:val="center"/>
          </w:tcPr>
          <w:p>
            <w:pPr>
              <w:spacing w:before="72"/>
              <w:jc w:val="center"/>
            </w:pPr>
            <w:r>
              <w:rPr>
                <w:rFonts w:hint="eastAsia"/>
              </w:rPr>
              <w:t>13</w:t>
            </w:r>
          </w:p>
        </w:tc>
        <w:tc>
          <w:tcPr>
            <w:tcW w:w="1276" w:type="dxa"/>
            <w:vMerge w:val="restart"/>
            <w:vAlign w:val="center"/>
          </w:tcPr>
          <w:p>
            <w:pPr>
              <w:spacing w:before="72"/>
              <w:jc w:val="center"/>
            </w:pPr>
            <w:r>
              <w:rPr>
                <w:rFonts w:hint="eastAsia"/>
              </w:rPr>
              <w:t>项目管理</w:t>
            </w:r>
          </w:p>
        </w:tc>
        <w:tc>
          <w:tcPr>
            <w:tcW w:w="7614" w:type="dxa"/>
            <w:vAlign w:val="center"/>
          </w:tcPr>
          <w:p>
            <w:pPr>
              <w:spacing w:before="72"/>
            </w:pPr>
            <w:r>
              <w:rPr>
                <w:rFonts w:hint="eastAsia" w:cs="Segoe UI"/>
                <w:color w:val="000000" w:themeColor="text1"/>
                <w:kern w:val="0"/>
                <w:shd w:val="clear" w:color="auto" w:fill="FFFFFF"/>
                <w14:textFill>
                  <w14:solidFill>
                    <w14:schemeClr w14:val="tx1"/>
                  </w14:solidFill>
                </w14:textFill>
              </w:rPr>
              <w:t>★</w:t>
            </w:r>
            <w:r>
              <w:rPr>
                <w:rFonts w:hint="eastAsia"/>
              </w:rPr>
              <w:t>具备项目管理功能，可对医院信息科的</w:t>
            </w:r>
            <w:r>
              <w:t>在建项目</w:t>
            </w:r>
            <w:r>
              <w:rPr>
                <w:rFonts w:hint="eastAsia"/>
              </w:rPr>
              <w:t>、</w:t>
            </w:r>
            <w:r>
              <w:t>已完成</w:t>
            </w:r>
            <w:r>
              <w:rPr>
                <w:rFonts w:hint="eastAsia"/>
              </w:rPr>
              <w:t>项目、</w:t>
            </w:r>
            <w:r>
              <w:t>服务中</w:t>
            </w:r>
            <w:r>
              <w:rPr>
                <w:rFonts w:hint="eastAsia"/>
              </w:rPr>
              <w:t>项目和已</w:t>
            </w:r>
            <w:r>
              <w:t>归档项目</w:t>
            </w:r>
            <w:r>
              <w:rPr>
                <w:rFonts w:hint="eastAsia"/>
              </w:rPr>
              <w:t>进行统筹管</w:t>
            </w:r>
            <w:r>
              <w:t>理，可进行项目进展节点的跟进、任务分派、供应商关联、合同/发票/支付等</w:t>
            </w:r>
            <w:r>
              <w:rPr>
                <w:rFonts w:hint="eastAsia"/>
              </w:rPr>
              <w:t>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vAlign w:val="center"/>
          </w:tcPr>
          <w:p>
            <w:pPr>
              <w:spacing w:before="72"/>
            </w:pPr>
            <w:r>
              <w:rPr>
                <w:rFonts w:hint="eastAsia"/>
              </w:rPr>
              <w:t>支持根据医院采购流程自定义项目流程，具备</w:t>
            </w:r>
            <w:r>
              <w:t>子项目</w:t>
            </w:r>
            <w:r>
              <w:rPr>
                <w:rFonts w:hint="eastAsia"/>
              </w:rPr>
              <w:t>架构</w:t>
            </w:r>
            <w:r>
              <w:t>、导出预算表</w:t>
            </w:r>
            <w:r>
              <w:rPr>
                <w:rFonts w:hint="eastAsia"/>
              </w:rPr>
              <w:t>，</w:t>
            </w:r>
            <w:r>
              <w:t>方便进行预算分析、财务统计等工作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vAlign w:val="center"/>
          </w:tcPr>
          <w:p>
            <w:pPr>
              <w:spacing w:before="72"/>
            </w:pPr>
            <w:r>
              <w:rPr>
                <w:rFonts w:hint="eastAsia" w:cs="Segoe UI"/>
                <w:color w:val="000000" w:themeColor="text1"/>
                <w:kern w:val="0"/>
                <w:shd w:val="clear" w:color="auto" w:fill="FFFFFF"/>
                <w14:textFill>
                  <w14:solidFill>
                    <w14:schemeClr w14:val="tx1"/>
                  </w14:solidFill>
                </w14:textFill>
              </w:rPr>
              <w:t>★</w:t>
            </w:r>
            <w:r>
              <w:rPr>
                <w:rFonts w:hint="eastAsia"/>
              </w:rPr>
              <w:t>合同管理功能要求</w:t>
            </w:r>
            <w:r>
              <w:t>可关联供应商、招标文件、合同文件、验收文件及发票等</w:t>
            </w:r>
            <w:r>
              <w:rPr>
                <w:rFonts w:hint="eastAsia"/>
              </w:rPr>
              <w:t>功能，</w:t>
            </w:r>
            <w:r>
              <w:t>供应商统一建档管理每个项目指定供应商</w:t>
            </w:r>
            <w:r>
              <w:rPr>
                <w:rFonts w:hint="eastAsia"/>
              </w:rPr>
              <w:t>、</w:t>
            </w:r>
            <w:r>
              <w:t>匹配合同及发票</w:t>
            </w:r>
            <w:r>
              <w:rPr>
                <w:rFonts w:hint="eastAsia"/>
              </w:rPr>
              <w:t>和</w:t>
            </w:r>
            <w:r>
              <w:t>付款</w:t>
            </w:r>
            <w:r>
              <w:rPr>
                <w:rFonts w:hint="eastAsia"/>
              </w:rPr>
              <w:t>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46" w:type="dxa"/>
            <w:vMerge w:val="continue"/>
            <w:vAlign w:val="center"/>
          </w:tcPr>
          <w:p>
            <w:pPr>
              <w:spacing w:before="72"/>
              <w:jc w:val="center"/>
            </w:pPr>
          </w:p>
        </w:tc>
        <w:tc>
          <w:tcPr>
            <w:tcW w:w="1276" w:type="dxa"/>
            <w:vMerge w:val="continue"/>
            <w:vAlign w:val="center"/>
          </w:tcPr>
          <w:p>
            <w:pPr>
              <w:spacing w:before="72"/>
              <w:jc w:val="center"/>
            </w:pPr>
          </w:p>
        </w:tc>
        <w:tc>
          <w:tcPr>
            <w:tcW w:w="7614" w:type="dxa"/>
            <w:vAlign w:val="center"/>
          </w:tcPr>
          <w:p>
            <w:pPr>
              <w:spacing w:before="72"/>
            </w:pPr>
            <w:r>
              <w:rPr>
                <w:rFonts w:hint="eastAsia" w:cs="Segoe UI"/>
                <w:color w:val="000000" w:themeColor="text1"/>
                <w:kern w:val="0"/>
                <w:shd w:val="clear" w:color="auto" w:fill="FFFFFF"/>
                <w14:textFill>
                  <w14:solidFill>
                    <w14:schemeClr w14:val="tx1"/>
                  </w14:solidFill>
                </w14:textFill>
              </w:rPr>
              <w:t>★</w:t>
            </w:r>
            <w:r>
              <w:rPr>
                <w:rFonts w:hint="eastAsia"/>
              </w:rPr>
              <w:t>可根据项目管理需要进行任务指派，包括</w:t>
            </w:r>
            <w:r>
              <w:t>任务内容、指定负责人、设置紧急程度和任务状态等，便于将项目工作细化为具体任务，并分配到个人</w:t>
            </w:r>
          </w:p>
        </w:tc>
      </w:tr>
    </w:tbl>
    <w:p/>
    <w:p>
      <w:pPr>
        <w:spacing w:before="97" w:line="480" w:lineRule="exact"/>
        <w:rPr>
          <w:rFonts w:ascii="宋体" w:hAnsi="宋体" w:cs="宋体"/>
          <w:b/>
          <w:bCs/>
          <w:sz w:val="24"/>
        </w:rPr>
      </w:pPr>
      <w:r>
        <w:rPr>
          <w:rFonts w:hint="eastAsia" w:ascii="宋体" w:hAnsi="宋体" w:cs="宋体"/>
          <w:b/>
          <w:bCs/>
          <w:sz w:val="24"/>
        </w:rPr>
        <w:t>（3）自助打印集成平台功能要求</w:t>
      </w:r>
    </w:p>
    <w:tbl>
      <w:tblPr>
        <w:tblStyle w:val="1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7"/>
        <w:gridCol w:w="1953"/>
        <w:gridCol w:w="72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jc w:val="center"/>
        </w:trPr>
        <w:tc>
          <w:tcPr>
            <w:tcW w:w="370" w:type="pct"/>
            <w:vAlign w:val="center"/>
          </w:tcPr>
          <w:p>
            <w:pPr>
              <w:jc w:val="center"/>
              <w:rPr>
                <w:rFonts w:ascii="宋体" w:hAnsi="宋体" w:cs="宋体"/>
                <w:b/>
                <w:bCs/>
                <w:sz w:val="24"/>
                <w:lang w:val="zh-TW" w:eastAsia="zh-TW"/>
              </w:rPr>
            </w:pPr>
            <w:r>
              <w:rPr>
                <w:rFonts w:hint="eastAsia" w:ascii="宋体" w:hAnsi="宋体" w:cs="宋体"/>
                <w:b/>
                <w:bCs/>
                <w:sz w:val="24"/>
                <w:lang w:val="zh-TW"/>
              </w:rPr>
              <w:t>序号</w:t>
            </w:r>
          </w:p>
        </w:tc>
        <w:tc>
          <w:tcPr>
            <w:tcW w:w="980" w:type="pct"/>
            <w:vAlign w:val="center"/>
          </w:tcPr>
          <w:p>
            <w:pPr>
              <w:jc w:val="center"/>
              <w:rPr>
                <w:rFonts w:ascii="宋体" w:hAnsi="宋体" w:cs="宋体"/>
                <w:b/>
                <w:bCs/>
                <w:sz w:val="24"/>
              </w:rPr>
            </w:pPr>
            <w:r>
              <w:rPr>
                <w:rFonts w:hint="eastAsia" w:ascii="宋体" w:hAnsi="宋体" w:cs="宋体"/>
                <w:b/>
                <w:bCs/>
                <w:sz w:val="24"/>
                <w:lang w:val="zh-TW" w:eastAsia="zh-TW"/>
              </w:rPr>
              <w:t>功能</w:t>
            </w:r>
          </w:p>
        </w:tc>
        <w:tc>
          <w:tcPr>
            <w:tcW w:w="3648" w:type="pct"/>
            <w:vAlign w:val="center"/>
          </w:tcPr>
          <w:p>
            <w:pPr>
              <w:jc w:val="center"/>
              <w:rPr>
                <w:rFonts w:ascii="宋体" w:hAnsi="宋体" w:cs="宋体"/>
                <w:b/>
                <w:bCs/>
                <w:sz w:val="24"/>
              </w:rPr>
            </w:pPr>
            <w:r>
              <w:rPr>
                <w:rFonts w:hint="eastAsia" w:ascii="宋体" w:hAnsi="宋体" w:cs="宋体"/>
                <w:b/>
                <w:bCs/>
                <w:sz w:val="24"/>
              </w:rPr>
              <w:t>描述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0" w:type="pct"/>
            <w:vAlign w:val="center"/>
          </w:tcPr>
          <w:p>
            <w:pPr>
              <w:jc w:val="center"/>
              <w:rPr>
                <w:rFonts w:ascii="宋体" w:hAnsi="宋体" w:cs="宋体"/>
                <w:sz w:val="24"/>
              </w:rPr>
            </w:pPr>
            <w:r>
              <w:rPr>
                <w:rFonts w:hint="eastAsia" w:ascii="宋体" w:hAnsi="宋体" w:cs="宋体"/>
                <w:sz w:val="24"/>
              </w:rPr>
              <w:t>1</w:t>
            </w:r>
          </w:p>
        </w:tc>
        <w:tc>
          <w:tcPr>
            <w:tcW w:w="980" w:type="pct"/>
            <w:vAlign w:val="center"/>
          </w:tcPr>
          <w:p>
            <w:pPr>
              <w:jc w:val="center"/>
              <w:rPr>
                <w:rFonts w:ascii="宋体" w:hAnsi="宋体" w:cs="宋体"/>
                <w:sz w:val="24"/>
              </w:rPr>
            </w:pPr>
            <w:r>
              <w:rPr>
                <w:rFonts w:hint="eastAsia" w:ascii="宋体" w:hAnsi="宋体" w:cs="宋体"/>
                <w:sz w:val="24"/>
              </w:rPr>
              <w:t>报告采集能力</w:t>
            </w:r>
          </w:p>
        </w:tc>
        <w:tc>
          <w:tcPr>
            <w:tcW w:w="3648" w:type="pct"/>
            <w:vAlign w:val="center"/>
          </w:tcPr>
          <w:p>
            <w:pPr>
              <w:rPr>
                <w:rFonts w:ascii="宋体" w:hAnsi="宋体" w:cs="宋体"/>
                <w:color w:val="333333"/>
                <w:sz w:val="24"/>
              </w:rPr>
            </w:pPr>
            <w:r>
              <w:rPr>
                <w:rFonts w:hint="eastAsia" w:ascii="宋体" w:hAnsi="宋体" w:cs="宋体"/>
                <w:sz w:val="24"/>
              </w:rPr>
              <w:t>★支持数据对接或轻接口（PDF视图对接，Web serves /TCP）对接实施，实现院内所有报告、单据的数据采集并与患者信息进行关联，存储在院内全院服务器。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0" w:type="pct"/>
            <w:vAlign w:val="center"/>
          </w:tcPr>
          <w:p>
            <w:pPr>
              <w:jc w:val="center"/>
              <w:rPr>
                <w:rFonts w:ascii="宋体" w:hAnsi="宋体" w:cs="宋体"/>
                <w:sz w:val="24"/>
              </w:rPr>
            </w:pPr>
            <w:r>
              <w:rPr>
                <w:rFonts w:hint="eastAsia" w:ascii="宋体" w:hAnsi="宋体" w:cs="宋体"/>
                <w:sz w:val="24"/>
              </w:rPr>
              <w:t>2</w:t>
            </w:r>
          </w:p>
        </w:tc>
        <w:tc>
          <w:tcPr>
            <w:tcW w:w="980" w:type="pct"/>
            <w:vAlign w:val="center"/>
          </w:tcPr>
          <w:p>
            <w:pPr>
              <w:jc w:val="center"/>
              <w:rPr>
                <w:rFonts w:ascii="宋体" w:hAnsi="宋体" w:cs="宋体"/>
                <w:sz w:val="24"/>
                <w:lang w:val="zh-TW" w:eastAsia="zh-TW"/>
              </w:rPr>
            </w:pPr>
            <w:r>
              <w:rPr>
                <w:rFonts w:hint="eastAsia" w:ascii="宋体" w:hAnsi="宋体" w:cs="宋体"/>
                <w:sz w:val="24"/>
                <w:lang w:val="zh-TW"/>
              </w:rPr>
              <w:t>驱动管理</w:t>
            </w:r>
          </w:p>
        </w:tc>
        <w:tc>
          <w:tcPr>
            <w:tcW w:w="3648" w:type="pct"/>
            <w:vAlign w:val="center"/>
          </w:tcPr>
          <w:p>
            <w:pPr>
              <w:rPr>
                <w:rFonts w:ascii="宋体" w:hAnsi="宋体" w:cs="宋体"/>
                <w:sz w:val="24"/>
              </w:rPr>
            </w:pPr>
            <w:r>
              <w:rPr>
                <w:rFonts w:hint="eastAsia" w:ascii="宋体" w:hAnsi="宋体" w:cs="宋体"/>
                <w:sz w:val="24"/>
              </w:rPr>
              <w:t>★对各种打印服务的统一管理。可了解目前开发的打印服务功能，禁用打印服务等功能。该服务是基础服务功能，根据实际业务实现用户交互页面，和医院接口的对接。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0" w:type="pct"/>
            <w:vAlign w:val="center"/>
          </w:tcPr>
          <w:p>
            <w:pPr>
              <w:jc w:val="center"/>
              <w:rPr>
                <w:rFonts w:ascii="宋体" w:hAnsi="宋体" w:cs="宋体"/>
                <w:sz w:val="24"/>
              </w:rPr>
            </w:pPr>
            <w:r>
              <w:rPr>
                <w:rFonts w:hint="eastAsia" w:ascii="宋体" w:hAnsi="宋体" w:cs="宋体"/>
                <w:sz w:val="24"/>
              </w:rPr>
              <w:t>3</w:t>
            </w:r>
          </w:p>
        </w:tc>
        <w:tc>
          <w:tcPr>
            <w:tcW w:w="980" w:type="pct"/>
            <w:vAlign w:val="center"/>
          </w:tcPr>
          <w:p>
            <w:pPr>
              <w:jc w:val="center"/>
              <w:rPr>
                <w:rFonts w:ascii="宋体" w:hAnsi="宋体" w:cs="宋体"/>
                <w:sz w:val="24"/>
              </w:rPr>
            </w:pPr>
            <w:r>
              <w:rPr>
                <w:rFonts w:hint="eastAsia" w:ascii="宋体" w:hAnsi="宋体" w:cs="宋体"/>
                <w:sz w:val="24"/>
              </w:rPr>
              <w:t>打印文件日志</w:t>
            </w:r>
          </w:p>
        </w:tc>
        <w:tc>
          <w:tcPr>
            <w:tcW w:w="3648" w:type="pct"/>
            <w:vAlign w:val="center"/>
          </w:tcPr>
          <w:p>
            <w:pPr>
              <w:rPr>
                <w:rFonts w:ascii="宋体" w:hAnsi="宋体" w:cs="宋体"/>
                <w:sz w:val="24"/>
              </w:rPr>
            </w:pPr>
            <w:r>
              <w:rPr>
                <w:rFonts w:hint="eastAsia" w:ascii="宋体" w:hAnsi="宋体" w:cs="宋体"/>
                <w:sz w:val="24"/>
              </w:rPr>
              <w:t>★记录设备打印类型，打印数量，打印人，打印时间段等信息，方便对数据进行统计和分析。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0" w:type="pct"/>
            <w:vAlign w:val="center"/>
          </w:tcPr>
          <w:p>
            <w:pPr>
              <w:jc w:val="center"/>
              <w:rPr>
                <w:rFonts w:ascii="宋体" w:hAnsi="宋体" w:cs="宋体"/>
                <w:sz w:val="24"/>
              </w:rPr>
            </w:pPr>
            <w:r>
              <w:rPr>
                <w:rFonts w:hint="eastAsia" w:ascii="宋体" w:hAnsi="宋体" w:cs="宋体"/>
                <w:sz w:val="24"/>
              </w:rPr>
              <w:t>4</w:t>
            </w:r>
          </w:p>
        </w:tc>
        <w:tc>
          <w:tcPr>
            <w:tcW w:w="980" w:type="pct"/>
            <w:vAlign w:val="center"/>
          </w:tcPr>
          <w:p>
            <w:pPr>
              <w:jc w:val="center"/>
              <w:rPr>
                <w:rFonts w:ascii="宋体" w:hAnsi="宋体" w:cs="宋体"/>
                <w:sz w:val="24"/>
                <w:lang w:val="zh-TW"/>
              </w:rPr>
            </w:pPr>
            <w:r>
              <w:rPr>
                <w:rFonts w:hint="eastAsia" w:ascii="宋体" w:hAnsi="宋体" w:cs="宋体"/>
                <w:sz w:val="24"/>
                <w:lang w:val="zh-TW"/>
              </w:rPr>
              <w:t>打印监控</w:t>
            </w:r>
          </w:p>
        </w:tc>
        <w:tc>
          <w:tcPr>
            <w:tcW w:w="3648" w:type="pct"/>
            <w:vAlign w:val="center"/>
          </w:tcPr>
          <w:p>
            <w:pPr>
              <w:rPr>
                <w:rFonts w:ascii="宋体" w:hAnsi="宋体" w:cs="宋体"/>
                <w:sz w:val="24"/>
              </w:rPr>
            </w:pPr>
            <w:r>
              <w:rPr>
                <w:rFonts w:hint="eastAsia" w:ascii="宋体" w:hAnsi="宋体" w:cs="宋体"/>
                <w:sz w:val="24"/>
              </w:rPr>
              <w:t>★实时监控打印机状态并做记录，方便数据统计，及预警和报警（故障、没墨等主动预警），当上述服务出现异常或者监控数据低于预警值时发起报警信息或者预警信息。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0" w:type="pct"/>
            <w:vAlign w:val="center"/>
          </w:tcPr>
          <w:p>
            <w:pPr>
              <w:jc w:val="center"/>
              <w:rPr>
                <w:rFonts w:ascii="宋体" w:hAnsi="宋体" w:cs="宋体"/>
                <w:sz w:val="24"/>
              </w:rPr>
            </w:pPr>
            <w:r>
              <w:rPr>
                <w:rFonts w:hint="eastAsia" w:ascii="宋体" w:hAnsi="宋体" w:cs="宋体"/>
                <w:sz w:val="24"/>
              </w:rPr>
              <w:t>5</w:t>
            </w:r>
          </w:p>
        </w:tc>
        <w:tc>
          <w:tcPr>
            <w:tcW w:w="980" w:type="pct"/>
            <w:vAlign w:val="center"/>
          </w:tcPr>
          <w:p>
            <w:pPr>
              <w:jc w:val="center"/>
              <w:rPr>
                <w:rFonts w:ascii="宋体" w:hAnsi="宋体" w:cs="宋体"/>
                <w:sz w:val="24"/>
                <w:lang w:val="zh-TW"/>
              </w:rPr>
            </w:pPr>
            <w:r>
              <w:rPr>
                <w:rFonts w:hint="eastAsia" w:ascii="宋体" w:hAnsi="宋体" w:cs="宋体"/>
                <w:sz w:val="24"/>
                <w:lang w:val="zh-TW"/>
              </w:rPr>
              <w:t>大屏展示</w:t>
            </w:r>
          </w:p>
        </w:tc>
        <w:tc>
          <w:tcPr>
            <w:tcW w:w="3648" w:type="pct"/>
            <w:vAlign w:val="center"/>
          </w:tcPr>
          <w:p>
            <w:pPr>
              <w:rPr>
                <w:rFonts w:ascii="宋体" w:hAnsi="宋体" w:cs="宋体"/>
                <w:sz w:val="24"/>
              </w:rPr>
            </w:pPr>
            <w:r>
              <w:rPr>
                <w:rFonts w:hint="eastAsia" w:ascii="宋体" w:hAnsi="宋体" w:cs="宋体"/>
                <w:sz w:val="24"/>
              </w:rPr>
              <w:t>对上述日志信息进行统计分析并展示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0" w:type="pct"/>
            <w:vAlign w:val="center"/>
          </w:tcPr>
          <w:p>
            <w:pPr>
              <w:jc w:val="center"/>
              <w:rPr>
                <w:rFonts w:ascii="宋体" w:hAnsi="宋体" w:cs="宋体"/>
                <w:sz w:val="24"/>
              </w:rPr>
            </w:pPr>
            <w:r>
              <w:rPr>
                <w:rFonts w:hint="eastAsia" w:ascii="宋体" w:hAnsi="宋体" w:cs="宋体"/>
                <w:sz w:val="24"/>
              </w:rPr>
              <w:t>6</w:t>
            </w:r>
          </w:p>
        </w:tc>
        <w:tc>
          <w:tcPr>
            <w:tcW w:w="980" w:type="pct"/>
            <w:vAlign w:val="center"/>
          </w:tcPr>
          <w:p>
            <w:pPr>
              <w:jc w:val="center"/>
              <w:rPr>
                <w:rFonts w:ascii="宋体" w:hAnsi="宋体" w:cs="宋体"/>
                <w:sz w:val="24"/>
                <w:lang w:val="zh-TW" w:eastAsia="zh-TW"/>
              </w:rPr>
            </w:pPr>
            <w:r>
              <w:rPr>
                <w:rFonts w:hint="eastAsia" w:ascii="宋体" w:hAnsi="宋体" w:cs="宋体"/>
                <w:sz w:val="24"/>
                <w:lang w:val="zh-TW"/>
              </w:rPr>
              <w:t>报告分流</w:t>
            </w:r>
          </w:p>
        </w:tc>
        <w:tc>
          <w:tcPr>
            <w:tcW w:w="3648" w:type="pct"/>
            <w:vAlign w:val="center"/>
          </w:tcPr>
          <w:p>
            <w:pPr>
              <w:rPr>
                <w:rFonts w:ascii="宋体" w:hAnsi="宋体" w:cs="宋体"/>
                <w:sz w:val="24"/>
                <w:lang w:val="zh-TW"/>
              </w:rPr>
            </w:pPr>
            <w:r>
              <w:rPr>
                <w:rFonts w:hint="eastAsia" w:ascii="宋体" w:hAnsi="宋体" w:cs="宋体"/>
                <w:sz w:val="24"/>
                <w:lang w:val="zh-TW"/>
              </w:rPr>
              <w:t>支持按院区、病区、门诊与住院、临床科室等条件进行报告分流，以满足各类定制需求。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0" w:type="pct"/>
            <w:vAlign w:val="center"/>
          </w:tcPr>
          <w:p>
            <w:pPr>
              <w:jc w:val="center"/>
              <w:rPr>
                <w:rFonts w:ascii="宋体" w:hAnsi="宋体" w:cs="宋体"/>
                <w:sz w:val="24"/>
              </w:rPr>
            </w:pPr>
            <w:r>
              <w:rPr>
                <w:rFonts w:hint="eastAsia" w:ascii="宋体" w:hAnsi="宋体" w:cs="宋体"/>
                <w:sz w:val="24"/>
              </w:rPr>
              <w:t>7</w:t>
            </w:r>
          </w:p>
        </w:tc>
        <w:tc>
          <w:tcPr>
            <w:tcW w:w="980" w:type="pct"/>
            <w:vAlign w:val="center"/>
          </w:tcPr>
          <w:p>
            <w:pPr>
              <w:jc w:val="center"/>
              <w:rPr>
                <w:rFonts w:ascii="宋体" w:hAnsi="宋体" w:cs="宋体"/>
                <w:sz w:val="24"/>
                <w:lang w:val="zh-TW" w:eastAsia="zh-TW"/>
              </w:rPr>
            </w:pPr>
            <w:r>
              <w:rPr>
                <w:rFonts w:hint="eastAsia" w:ascii="宋体" w:hAnsi="宋体" w:cs="宋体"/>
                <w:sz w:val="24"/>
                <w:lang w:val="zh-TW"/>
              </w:rPr>
              <w:t>印量统计</w:t>
            </w:r>
          </w:p>
        </w:tc>
        <w:tc>
          <w:tcPr>
            <w:tcW w:w="3648" w:type="pct"/>
            <w:vAlign w:val="center"/>
          </w:tcPr>
          <w:p>
            <w:pPr>
              <w:rPr>
                <w:rFonts w:ascii="宋体" w:hAnsi="宋体" w:cs="宋体"/>
                <w:sz w:val="24"/>
                <w:lang w:val="zh-TW"/>
              </w:rPr>
            </w:pPr>
            <w:r>
              <w:rPr>
                <w:rFonts w:hint="eastAsia" w:ascii="宋体" w:hAnsi="宋体" w:cs="宋体"/>
                <w:sz w:val="24"/>
                <w:lang w:val="zh-TW"/>
              </w:rPr>
              <w:t>支持按日期、机型、终端、打印机、文件类型、尺寸、介质等自定义组合条件进行印量统计。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0" w:type="pct"/>
            <w:vAlign w:val="center"/>
          </w:tcPr>
          <w:p>
            <w:pPr>
              <w:jc w:val="center"/>
              <w:rPr>
                <w:rFonts w:ascii="宋体" w:hAnsi="宋体" w:cs="宋体"/>
                <w:sz w:val="24"/>
              </w:rPr>
            </w:pPr>
            <w:r>
              <w:rPr>
                <w:rFonts w:hint="eastAsia" w:ascii="宋体" w:hAnsi="宋体" w:cs="宋体"/>
                <w:sz w:val="24"/>
              </w:rPr>
              <w:t>8</w:t>
            </w:r>
          </w:p>
        </w:tc>
        <w:tc>
          <w:tcPr>
            <w:tcW w:w="980" w:type="pct"/>
            <w:vAlign w:val="center"/>
          </w:tcPr>
          <w:p>
            <w:pPr>
              <w:jc w:val="center"/>
              <w:rPr>
                <w:rFonts w:ascii="宋体" w:hAnsi="宋体" w:cs="宋体"/>
                <w:sz w:val="24"/>
                <w:lang w:val="zh-TW"/>
              </w:rPr>
            </w:pPr>
            <w:r>
              <w:rPr>
                <w:rFonts w:hint="eastAsia" w:ascii="宋体" w:hAnsi="宋体" w:cs="宋体"/>
                <w:sz w:val="24"/>
                <w:lang w:val="zh-TW"/>
              </w:rPr>
              <w:t>按医技科室统计印量</w:t>
            </w:r>
          </w:p>
        </w:tc>
        <w:tc>
          <w:tcPr>
            <w:tcW w:w="3648" w:type="pct"/>
            <w:vAlign w:val="center"/>
          </w:tcPr>
          <w:p>
            <w:pPr>
              <w:rPr>
                <w:rFonts w:ascii="宋体" w:hAnsi="宋体" w:cs="宋体"/>
                <w:sz w:val="24"/>
                <w:lang w:val="zh-TW"/>
              </w:rPr>
            </w:pPr>
            <w:r>
              <w:rPr>
                <w:rFonts w:hint="eastAsia" w:ascii="宋体" w:hAnsi="宋体" w:cs="宋体"/>
                <w:sz w:val="24"/>
                <w:lang w:val="zh-TW"/>
              </w:rPr>
              <w:t>支持按日期、医技科室、来源、报告/胶片类别、介质、尺寸等自定义组合条件进行印量统计。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0" w:type="pct"/>
            <w:vAlign w:val="center"/>
          </w:tcPr>
          <w:p>
            <w:pPr>
              <w:jc w:val="center"/>
              <w:rPr>
                <w:rFonts w:ascii="宋体" w:hAnsi="宋体" w:cs="宋体"/>
                <w:sz w:val="24"/>
              </w:rPr>
            </w:pPr>
            <w:r>
              <w:rPr>
                <w:rFonts w:hint="eastAsia" w:ascii="宋体" w:hAnsi="宋体" w:cs="宋体"/>
                <w:sz w:val="24"/>
              </w:rPr>
              <w:t>9</w:t>
            </w:r>
          </w:p>
        </w:tc>
        <w:tc>
          <w:tcPr>
            <w:tcW w:w="980" w:type="pct"/>
            <w:vAlign w:val="center"/>
          </w:tcPr>
          <w:p>
            <w:pPr>
              <w:jc w:val="center"/>
              <w:rPr>
                <w:rFonts w:ascii="宋体" w:hAnsi="宋体" w:cs="宋体"/>
                <w:sz w:val="24"/>
                <w:lang w:val="zh-TW" w:eastAsia="zh-TW"/>
              </w:rPr>
            </w:pPr>
            <w:r>
              <w:rPr>
                <w:rFonts w:hint="eastAsia" w:ascii="宋体" w:hAnsi="宋体" w:cs="宋体"/>
                <w:sz w:val="24"/>
                <w:lang w:val="zh-TW"/>
              </w:rPr>
              <w:t>印量明细查询</w:t>
            </w:r>
          </w:p>
        </w:tc>
        <w:tc>
          <w:tcPr>
            <w:tcW w:w="3648" w:type="pct"/>
            <w:vAlign w:val="center"/>
          </w:tcPr>
          <w:p>
            <w:pPr>
              <w:rPr>
                <w:rFonts w:ascii="宋体" w:hAnsi="宋体" w:cs="宋体"/>
                <w:sz w:val="24"/>
                <w:lang w:val="zh-TW"/>
              </w:rPr>
            </w:pPr>
            <w:r>
              <w:rPr>
                <w:rFonts w:hint="eastAsia" w:ascii="宋体" w:hAnsi="宋体" w:cs="宋体"/>
                <w:sz w:val="24"/>
                <w:lang w:val="zh-TW"/>
              </w:rPr>
              <w:t>支持按日期、科室、报告类别等条件查询报告明细，包括科室、报告类别、颜色、打印终端、介质、尺寸、打印时间等信息。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0" w:type="pct"/>
            <w:vAlign w:val="center"/>
          </w:tcPr>
          <w:p>
            <w:pPr>
              <w:jc w:val="center"/>
              <w:rPr>
                <w:rFonts w:ascii="宋体" w:hAnsi="宋体" w:cs="宋体"/>
                <w:sz w:val="24"/>
              </w:rPr>
            </w:pPr>
            <w:r>
              <w:rPr>
                <w:rFonts w:hint="eastAsia" w:ascii="宋体" w:hAnsi="宋体" w:cs="宋体"/>
                <w:sz w:val="24"/>
              </w:rPr>
              <w:t>10</w:t>
            </w:r>
          </w:p>
        </w:tc>
        <w:tc>
          <w:tcPr>
            <w:tcW w:w="980" w:type="pct"/>
            <w:vAlign w:val="center"/>
          </w:tcPr>
          <w:p>
            <w:pPr>
              <w:jc w:val="center"/>
              <w:rPr>
                <w:rFonts w:ascii="宋体" w:hAnsi="宋体" w:cs="宋体"/>
                <w:sz w:val="24"/>
              </w:rPr>
            </w:pPr>
            <w:r>
              <w:rPr>
                <w:rFonts w:hint="eastAsia" w:ascii="宋体" w:hAnsi="宋体" w:cs="宋体"/>
                <w:sz w:val="24"/>
                <w:lang w:val="zh-TW" w:eastAsia="zh-TW"/>
              </w:rPr>
              <w:t>补打功能</w:t>
            </w:r>
          </w:p>
        </w:tc>
        <w:tc>
          <w:tcPr>
            <w:tcW w:w="3648" w:type="pct"/>
            <w:vAlign w:val="center"/>
          </w:tcPr>
          <w:p>
            <w:pPr>
              <w:rPr>
                <w:rFonts w:ascii="宋体" w:hAnsi="宋体" w:cs="宋体"/>
                <w:sz w:val="24"/>
              </w:rPr>
            </w:pPr>
            <w:r>
              <w:rPr>
                <w:rFonts w:hint="eastAsia" w:ascii="宋体" w:hAnsi="宋体" w:cs="宋体"/>
                <w:sz w:val="24"/>
                <w:lang w:val="zh-TW"/>
              </w:rPr>
              <w:t>对打印未成功、或者打印质量出问题等报告进行补打。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0" w:type="pct"/>
            <w:vAlign w:val="center"/>
          </w:tcPr>
          <w:p>
            <w:pPr>
              <w:jc w:val="center"/>
              <w:rPr>
                <w:rFonts w:ascii="宋体" w:hAnsi="宋体" w:cs="宋体"/>
                <w:sz w:val="24"/>
              </w:rPr>
            </w:pPr>
            <w:r>
              <w:rPr>
                <w:rFonts w:hint="eastAsia" w:ascii="宋体" w:hAnsi="宋体" w:cs="宋体"/>
                <w:sz w:val="24"/>
              </w:rPr>
              <w:t>11</w:t>
            </w:r>
          </w:p>
        </w:tc>
        <w:tc>
          <w:tcPr>
            <w:tcW w:w="980" w:type="pct"/>
            <w:vAlign w:val="center"/>
          </w:tcPr>
          <w:p>
            <w:pPr>
              <w:jc w:val="center"/>
              <w:rPr>
                <w:rFonts w:ascii="宋体" w:hAnsi="宋体" w:cs="宋体"/>
                <w:sz w:val="24"/>
              </w:rPr>
            </w:pPr>
            <w:r>
              <w:rPr>
                <w:rFonts w:hint="eastAsia" w:ascii="宋体" w:hAnsi="宋体" w:cs="宋体"/>
                <w:sz w:val="24"/>
                <w:lang w:val="zh-TW" w:eastAsia="zh-TW"/>
              </w:rPr>
              <w:t>查询打印信息</w:t>
            </w:r>
          </w:p>
        </w:tc>
        <w:tc>
          <w:tcPr>
            <w:tcW w:w="3648" w:type="pct"/>
            <w:vAlign w:val="center"/>
          </w:tcPr>
          <w:p>
            <w:pPr>
              <w:rPr>
                <w:rFonts w:ascii="宋体" w:hAnsi="宋体" w:cs="宋体"/>
                <w:sz w:val="24"/>
              </w:rPr>
            </w:pPr>
            <w:r>
              <w:rPr>
                <w:rFonts w:hint="eastAsia" w:ascii="宋体" w:hAnsi="宋体" w:cs="宋体"/>
                <w:sz w:val="24"/>
                <w:lang w:val="zh-TW"/>
              </w:rPr>
              <w:t>通过科室、打印状态、识别状态、接收时间段、患者姓名、取片凭证等信息查询打印作业，并支持按需选择指定打印机进行批量报告打印。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0" w:type="pct"/>
            <w:vAlign w:val="center"/>
          </w:tcPr>
          <w:p>
            <w:pPr>
              <w:jc w:val="center"/>
              <w:rPr>
                <w:rFonts w:ascii="宋体" w:hAnsi="宋体" w:cs="宋体"/>
                <w:sz w:val="24"/>
              </w:rPr>
            </w:pPr>
            <w:r>
              <w:rPr>
                <w:rFonts w:hint="eastAsia" w:ascii="宋体" w:hAnsi="宋体" w:cs="宋体"/>
                <w:sz w:val="24"/>
              </w:rPr>
              <w:t>12</w:t>
            </w:r>
          </w:p>
        </w:tc>
        <w:tc>
          <w:tcPr>
            <w:tcW w:w="980" w:type="pct"/>
            <w:vAlign w:val="center"/>
          </w:tcPr>
          <w:p>
            <w:pPr>
              <w:jc w:val="center"/>
              <w:rPr>
                <w:rFonts w:ascii="宋体" w:hAnsi="宋体" w:cs="宋体"/>
                <w:sz w:val="24"/>
              </w:rPr>
            </w:pPr>
            <w:r>
              <w:rPr>
                <w:rFonts w:hint="eastAsia" w:ascii="宋体" w:hAnsi="宋体" w:cs="宋体"/>
                <w:sz w:val="24"/>
                <w:lang w:val="zh-TW" w:eastAsia="zh-TW"/>
              </w:rPr>
              <w:t>直接输出功能</w:t>
            </w:r>
          </w:p>
        </w:tc>
        <w:tc>
          <w:tcPr>
            <w:tcW w:w="3648" w:type="pct"/>
            <w:vAlign w:val="center"/>
          </w:tcPr>
          <w:p>
            <w:pPr>
              <w:rPr>
                <w:rFonts w:ascii="宋体" w:hAnsi="宋体" w:cs="宋体"/>
                <w:sz w:val="24"/>
              </w:rPr>
            </w:pPr>
            <w:r>
              <w:rPr>
                <w:rFonts w:hint="eastAsia" w:ascii="宋体" w:hAnsi="宋体" w:cs="宋体"/>
                <w:sz w:val="24"/>
                <w:lang w:val="zh-TW"/>
              </w:rPr>
              <w:t>支持医生站发送的报告，无需条码，直接选择指定打印机打印。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0" w:type="pct"/>
            <w:vAlign w:val="center"/>
          </w:tcPr>
          <w:p>
            <w:pPr>
              <w:jc w:val="center"/>
              <w:rPr>
                <w:rFonts w:ascii="宋体" w:hAnsi="宋体" w:cs="宋体"/>
                <w:sz w:val="24"/>
              </w:rPr>
            </w:pPr>
            <w:r>
              <w:rPr>
                <w:rFonts w:hint="eastAsia" w:ascii="宋体" w:hAnsi="宋体" w:cs="宋体"/>
                <w:sz w:val="24"/>
              </w:rPr>
              <w:t>13</w:t>
            </w:r>
          </w:p>
        </w:tc>
        <w:tc>
          <w:tcPr>
            <w:tcW w:w="980" w:type="pct"/>
            <w:vAlign w:val="center"/>
          </w:tcPr>
          <w:p>
            <w:pPr>
              <w:jc w:val="center"/>
              <w:rPr>
                <w:rFonts w:ascii="宋体" w:hAnsi="宋体" w:cs="宋体"/>
                <w:sz w:val="24"/>
              </w:rPr>
            </w:pPr>
            <w:r>
              <w:rPr>
                <w:rFonts w:hint="eastAsia" w:ascii="宋体" w:hAnsi="宋体" w:cs="宋体"/>
                <w:sz w:val="24"/>
                <w:lang w:val="zh-TW" w:eastAsia="zh-TW"/>
              </w:rPr>
              <w:t>判断报告重复</w:t>
            </w:r>
          </w:p>
        </w:tc>
        <w:tc>
          <w:tcPr>
            <w:tcW w:w="3648" w:type="pct"/>
            <w:vAlign w:val="center"/>
          </w:tcPr>
          <w:p>
            <w:pPr>
              <w:rPr>
                <w:rFonts w:ascii="宋体" w:hAnsi="宋体" w:cs="宋体"/>
                <w:sz w:val="24"/>
              </w:rPr>
            </w:pPr>
            <w:r>
              <w:rPr>
                <w:rFonts w:hint="eastAsia" w:ascii="宋体" w:hAnsi="宋体" w:cs="宋体"/>
                <w:sz w:val="24"/>
                <w:lang w:val="zh-TW"/>
              </w:rPr>
              <w:t>支持在一定时间内发送第二份报告可以覆盖前一份报告。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0" w:type="pct"/>
            <w:vAlign w:val="center"/>
          </w:tcPr>
          <w:p>
            <w:pPr>
              <w:jc w:val="center"/>
              <w:rPr>
                <w:rFonts w:ascii="宋体" w:hAnsi="宋体" w:cs="宋体"/>
                <w:sz w:val="24"/>
              </w:rPr>
            </w:pPr>
            <w:r>
              <w:rPr>
                <w:rFonts w:hint="eastAsia" w:ascii="宋体" w:hAnsi="宋体" w:cs="宋体"/>
                <w:sz w:val="24"/>
              </w:rPr>
              <w:t>14</w:t>
            </w:r>
          </w:p>
        </w:tc>
        <w:tc>
          <w:tcPr>
            <w:tcW w:w="980" w:type="pct"/>
            <w:vAlign w:val="center"/>
          </w:tcPr>
          <w:p>
            <w:pPr>
              <w:jc w:val="center"/>
              <w:rPr>
                <w:rFonts w:ascii="宋体" w:hAnsi="宋体" w:cs="宋体"/>
                <w:sz w:val="24"/>
              </w:rPr>
            </w:pPr>
            <w:r>
              <w:rPr>
                <w:rFonts w:hint="eastAsia" w:ascii="宋体" w:hAnsi="宋体" w:cs="宋体"/>
                <w:sz w:val="24"/>
                <w:lang w:val="zh-TW" w:eastAsia="zh-TW"/>
              </w:rPr>
              <w:t>按需直打功能</w:t>
            </w:r>
          </w:p>
        </w:tc>
        <w:tc>
          <w:tcPr>
            <w:tcW w:w="3648" w:type="pct"/>
            <w:vAlign w:val="center"/>
          </w:tcPr>
          <w:p>
            <w:pPr>
              <w:rPr>
                <w:rFonts w:ascii="宋体" w:hAnsi="宋体" w:cs="宋体"/>
                <w:sz w:val="24"/>
              </w:rPr>
            </w:pPr>
            <w:r>
              <w:rPr>
                <w:rFonts w:hint="eastAsia" w:ascii="宋体" w:hAnsi="宋体" w:cs="宋体"/>
                <w:sz w:val="24"/>
                <w:lang w:val="zh-TW"/>
              </w:rPr>
              <w:t>支持根据病患条码</w:t>
            </w:r>
            <w:r>
              <w:rPr>
                <w:rFonts w:hint="eastAsia" w:ascii="宋体" w:hAnsi="宋体" w:cs="宋体"/>
                <w:sz w:val="24"/>
              </w:rPr>
              <w:t>/</w:t>
            </w:r>
            <w:r>
              <w:rPr>
                <w:rFonts w:hint="eastAsia" w:ascii="宋体" w:hAnsi="宋体" w:cs="宋体"/>
                <w:sz w:val="24"/>
                <w:lang w:val="zh-TW"/>
              </w:rPr>
              <w:t>卡号，直接选择相应的打印机打印报告。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0" w:type="pct"/>
            <w:vAlign w:val="center"/>
          </w:tcPr>
          <w:p>
            <w:pPr>
              <w:jc w:val="center"/>
              <w:rPr>
                <w:rFonts w:ascii="宋体" w:hAnsi="宋体" w:cs="宋体"/>
                <w:sz w:val="24"/>
              </w:rPr>
            </w:pPr>
            <w:r>
              <w:rPr>
                <w:rFonts w:hint="eastAsia" w:ascii="宋体" w:hAnsi="宋体" w:cs="宋体"/>
                <w:sz w:val="24"/>
              </w:rPr>
              <w:t>15</w:t>
            </w:r>
          </w:p>
        </w:tc>
        <w:tc>
          <w:tcPr>
            <w:tcW w:w="980" w:type="pct"/>
            <w:vAlign w:val="center"/>
          </w:tcPr>
          <w:p>
            <w:pPr>
              <w:jc w:val="center"/>
              <w:rPr>
                <w:rFonts w:ascii="宋体" w:hAnsi="宋体" w:cs="宋体"/>
                <w:sz w:val="24"/>
              </w:rPr>
            </w:pPr>
            <w:r>
              <w:rPr>
                <w:rFonts w:hint="eastAsia" w:ascii="宋体" w:hAnsi="宋体" w:cs="宋体"/>
                <w:sz w:val="24"/>
                <w:lang w:val="zh-TW" w:eastAsia="zh-TW"/>
              </w:rPr>
              <w:t>颜色区分统计</w:t>
            </w:r>
          </w:p>
        </w:tc>
        <w:tc>
          <w:tcPr>
            <w:tcW w:w="3648" w:type="pct"/>
            <w:vAlign w:val="center"/>
          </w:tcPr>
          <w:p>
            <w:pPr>
              <w:rPr>
                <w:rFonts w:ascii="宋体" w:hAnsi="宋体" w:cs="宋体"/>
                <w:sz w:val="24"/>
              </w:rPr>
            </w:pPr>
            <w:r>
              <w:rPr>
                <w:rFonts w:hint="eastAsia" w:ascii="宋体" w:hAnsi="宋体" w:cs="宋体"/>
                <w:sz w:val="24"/>
                <w:lang w:val="zh-TW"/>
              </w:rPr>
              <w:t>服务器区分黑白打印、彩色打印，方便统计印量与业务服务管理。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0" w:type="pct"/>
            <w:vAlign w:val="center"/>
          </w:tcPr>
          <w:p>
            <w:pPr>
              <w:jc w:val="center"/>
              <w:rPr>
                <w:rFonts w:ascii="宋体" w:hAnsi="宋体" w:cs="宋体"/>
                <w:sz w:val="24"/>
              </w:rPr>
            </w:pPr>
            <w:r>
              <w:rPr>
                <w:rFonts w:hint="eastAsia" w:ascii="宋体" w:hAnsi="宋体" w:cs="宋体"/>
                <w:sz w:val="24"/>
              </w:rPr>
              <w:t>16</w:t>
            </w:r>
          </w:p>
        </w:tc>
        <w:tc>
          <w:tcPr>
            <w:tcW w:w="980" w:type="pct"/>
            <w:vAlign w:val="center"/>
          </w:tcPr>
          <w:p>
            <w:pPr>
              <w:jc w:val="center"/>
              <w:rPr>
                <w:rFonts w:ascii="宋体" w:hAnsi="宋体" w:cs="宋体"/>
                <w:sz w:val="24"/>
              </w:rPr>
            </w:pPr>
            <w:r>
              <w:rPr>
                <w:rFonts w:hint="eastAsia" w:ascii="宋体" w:hAnsi="宋体" w:cs="宋体"/>
                <w:sz w:val="24"/>
                <w:lang w:val="zh-TW"/>
              </w:rPr>
              <w:t>多途径打印</w:t>
            </w:r>
          </w:p>
        </w:tc>
        <w:tc>
          <w:tcPr>
            <w:tcW w:w="3648" w:type="pct"/>
            <w:vAlign w:val="center"/>
          </w:tcPr>
          <w:p>
            <w:pPr>
              <w:rPr>
                <w:rFonts w:ascii="宋体" w:hAnsi="宋体" w:cs="宋体"/>
                <w:sz w:val="24"/>
              </w:rPr>
            </w:pPr>
            <w:r>
              <w:rPr>
                <w:rFonts w:hint="eastAsia" w:ascii="宋体" w:hAnsi="宋体" w:cs="宋体"/>
                <w:sz w:val="24"/>
              </w:rPr>
              <w:t>★</w:t>
            </w:r>
            <w:r>
              <w:rPr>
                <w:rFonts w:hint="eastAsia" w:ascii="宋体" w:hAnsi="宋体" w:cs="宋体"/>
                <w:sz w:val="24"/>
                <w:lang w:val="zh-TW"/>
              </w:rPr>
              <w:t>支持院内条码</w:t>
            </w:r>
            <w:r>
              <w:rPr>
                <w:rFonts w:hint="eastAsia" w:ascii="宋体" w:hAnsi="宋体" w:cs="宋体"/>
                <w:sz w:val="24"/>
              </w:rPr>
              <w:t>/</w:t>
            </w:r>
            <w:r>
              <w:rPr>
                <w:rFonts w:hint="eastAsia" w:ascii="宋体" w:hAnsi="宋体" w:cs="宋体"/>
                <w:sz w:val="24"/>
                <w:lang w:val="zh-TW"/>
              </w:rPr>
              <w:t>社保卡</w:t>
            </w:r>
            <w:r>
              <w:rPr>
                <w:rFonts w:hint="eastAsia" w:ascii="宋体" w:hAnsi="宋体" w:cs="宋体"/>
                <w:sz w:val="24"/>
              </w:rPr>
              <w:t>/</w:t>
            </w:r>
            <w:r>
              <w:rPr>
                <w:rFonts w:hint="eastAsia" w:ascii="宋体" w:hAnsi="宋体" w:cs="宋体"/>
                <w:sz w:val="24"/>
                <w:lang w:val="zh-TW"/>
              </w:rPr>
              <w:t>院内就诊卡</w:t>
            </w:r>
            <w:r>
              <w:rPr>
                <w:rFonts w:hint="eastAsia" w:ascii="宋体" w:hAnsi="宋体" w:cs="宋体"/>
                <w:sz w:val="24"/>
              </w:rPr>
              <w:t>/</w:t>
            </w:r>
            <w:r>
              <w:rPr>
                <w:rFonts w:hint="eastAsia" w:ascii="宋体" w:hAnsi="宋体" w:cs="宋体"/>
                <w:sz w:val="24"/>
                <w:lang w:val="zh-TW"/>
              </w:rPr>
              <w:t>二维码。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0" w:type="pct"/>
            <w:vAlign w:val="center"/>
          </w:tcPr>
          <w:p>
            <w:pPr>
              <w:jc w:val="center"/>
              <w:rPr>
                <w:rFonts w:ascii="宋体" w:hAnsi="宋体" w:cs="宋体"/>
                <w:sz w:val="24"/>
              </w:rPr>
            </w:pPr>
            <w:r>
              <w:rPr>
                <w:rFonts w:hint="eastAsia" w:ascii="宋体" w:hAnsi="宋体" w:cs="宋体"/>
                <w:sz w:val="24"/>
              </w:rPr>
              <w:t>17</w:t>
            </w:r>
          </w:p>
        </w:tc>
        <w:tc>
          <w:tcPr>
            <w:tcW w:w="980" w:type="pct"/>
            <w:vAlign w:val="center"/>
          </w:tcPr>
          <w:p>
            <w:pPr>
              <w:jc w:val="center"/>
              <w:rPr>
                <w:rFonts w:ascii="宋体" w:hAnsi="宋体" w:cs="宋体"/>
                <w:sz w:val="24"/>
              </w:rPr>
            </w:pPr>
            <w:r>
              <w:rPr>
                <w:rFonts w:hint="eastAsia" w:ascii="宋体" w:hAnsi="宋体" w:cs="宋体"/>
                <w:sz w:val="24"/>
              </w:rPr>
              <w:t>多科室打印</w:t>
            </w:r>
          </w:p>
        </w:tc>
        <w:tc>
          <w:tcPr>
            <w:tcW w:w="3648" w:type="pct"/>
            <w:vAlign w:val="center"/>
          </w:tcPr>
          <w:p>
            <w:pPr>
              <w:rPr>
                <w:rFonts w:ascii="宋体" w:hAnsi="宋体" w:cs="宋体"/>
                <w:sz w:val="24"/>
              </w:rPr>
            </w:pPr>
            <w:r>
              <w:rPr>
                <w:rFonts w:hint="eastAsia" w:ascii="宋体" w:hAnsi="宋体" w:cs="宋体"/>
                <w:sz w:val="24"/>
              </w:rPr>
              <w:t>★</w:t>
            </w:r>
            <w:r>
              <w:rPr>
                <w:rFonts w:hint="eastAsia" w:ascii="宋体" w:hAnsi="宋体" w:cs="宋体"/>
                <w:sz w:val="24"/>
                <w:lang w:val="zh-TW"/>
              </w:rPr>
              <w:t>支持同时打印放射/检验</w:t>
            </w:r>
            <w:r>
              <w:rPr>
                <w:rFonts w:hint="eastAsia" w:ascii="宋体" w:hAnsi="宋体" w:cs="宋体"/>
                <w:sz w:val="24"/>
              </w:rPr>
              <w:t>/</w:t>
            </w:r>
            <w:r>
              <w:rPr>
                <w:rFonts w:hint="eastAsia" w:ascii="宋体" w:hAnsi="宋体" w:cs="宋体"/>
                <w:sz w:val="24"/>
                <w:lang w:val="zh-TW"/>
              </w:rPr>
              <w:t>超声</w:t>
            </w:r>
            <w:r>
              <w:rPr>
                <w:rFonts w:hint="eastAsia" w:ascii="宋体" w:hAnsi="宋体" w:cs="宋体"/>
                <w:sz w:val="24"/>
              </w:rPr>
              <w:t>/</w:t>
            </w:r>
            <w:r>
              <w:rPr>
                <w:rFonts w:hint="eastAsia" w:ascii="宋体" w:hAnsi="宋体" w:cs="宋体"/>
                <w:sz w:val="24"/>
                <w:lang w:val="zh-TW"/>
              </w:rPr>
              <w:t>病理</w:t>
            </w:r>
            <w:r>
              <w:rPr>
                <w:rFonts w:hint="eastAsia" w:ascii="宋体" w:hAnsi="宋体" w:cs="宋体"/>
                <w:sz w:val="24"/>
              </w:rPr>
              <w:t>/</w:t>
            </w:r>
            <w:r>
              <w:rPr>
                <w:rFonts w:hint="eastAsia" w:ascii="宋体" w:hAnsi="宋体" w:cs="宋体"/>
                <w:sz w:val="24"/>
                <w:lang w:val="zh-TW"/>
              </w:rPr>
              <w:t>心电</w:t>
            </w:r>
            <w:r>
              <w:rPr>
                <w:rFonts w:hint="eastAsia" w:ascii="宋体" w:hAnsi="宋体" w:cs="宋体"/>
                <w:sz w:val="24"/>
              </w:rPr>
              <w:t>/</w:t>
            </w:r>
            <w:r>
              <w:rPr>
                <w:rFonts w:hint="eastAsia" w:ascii="宋体" w:hAnsi="宋体" w:cs="宋体"/>
                <w:sz w:val="24"/>
                <w:lang w:val="zh-TW"/>
              </w:rPr>
              <w:t>脑电等全院所有报告。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0" w:type="pct"/>
            <w:vAlign w:val="center"/>
          </w:tcPr>
          <w:p>
            <w:pPr>
              <w:jc w:val="center"/>
              <w:rPr>
                <w:rFonts w:ascii="宋体" w:hAnsi="宋体" w:cs="宋体"/>
                <w:sz w:val="24"/>
              </w:rPr>
            </w:pPr>
            <w:r>
              <w:rPr>
                <w:rFonts w:hint="eastAsia" w:ascii="宋体" w:hAnsi="宋体" w:cs="宋体"/>
                <w:sz w:val="24"/>
              </w:rPr>
              <w:t>18</w:t>
            </w:r>
          </w:p>
        </w:tc>
        <w:tc>
          <w:tcPr>
            <w:tcW w:w="980" w:type="pct"/>
            <w:vAlign w:val="center"/>
          </w:tcPr>
          <w:p>
            <w:pPr>
              <w:jc w:val="center"/>
              <w:rPr>
                <w:rFonts w:ascii="宋体" w:hAnsi="宋体" w:cs="宋体"/>
                <w:sz w:val="24"/>
              </w:rPr>
            </w:pPr>
            <w:r>
              <w:rPr>
                <w:rFonts w:hint="eastAsia" w:ascii="宋体" w:hAnsi="宋体" w:cs="宋体"/>
                <w:sz w:val="24"/>
              </w:rPr>
              <w:t>多规格多材质</w:t>
            </w:r>
          </w:p>
        </w:tc>
        <w:tc>
          <w:tcPr>
            <w:tcW w:w="3648" w:type="pct"/>
            <w:vAlign w:val="center"/>
          </w:tcPr>
          <w:p>
            <w:pPr>
              <w:rPr>
                <w:rFonts w:ascii="宋体" w:hAnsi="宋体" w:cs="宋体"/>
                <w:sz w:val="24"/>
              </w:rPr>
            </w:pPr>
            <w:r>
              <w:rPr>
                <w:rFonts w:hint="eastAsia" w:ascii="宋体" w:hAnsi="宋体" w:cs="宋体"/>
                <w:sz w:val="24"/>
              </w:rPr>
              <w:t>★</w:t>
            </w:r>
            <w:r>
              <w:rPr>
                <w:rFonts w:hint="eastAsia" w:ascii="宋体" w:hAnsi="宋体" w:cs="宋体"/>
                <w:sz w:val="24"/>
                <w:lang w:val="zh-TW" w:eastAsia="zh-TW"/>
              </w:rPr>
              <w:t>支持彩色</w:t>
            </w:r>
            <w:r>
              <w:rPr>
                <w:rFonts w:hint="eastAsia" w:ascii="宋体" w:hAnsi="宋体" w:cs="宋体"/>
                <w:sz w:val="24"/>
                <w:lang w:val="zh-TW"/>
              </w:rPr>
              <w:t>/黑白/</w:t>
            </w:r>
            <w:r>
              <w:rPr>
                <w:rFonts w:hint="eastAsia" w:ascii="宋体" w:hAnsi="宋体" w:cs="宋体"/>
                <w:sz w:val="24"/>
                <w:lang w:val="zh-TW" w:eastAsia="zh-TW"/>
              </w:rPr>
              <w:t>A4/A5开等多规格打印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0" w:type="pct"/>
            <w:vAlign w:val="center"/>
          </w:tcPr>
          <w:p>
            <w:pPr>
              <w:jc w:val="center"/>
              <w:rPr>
                <w:rFonts w:ascii="宋体" w:hAnsi="宋体" w:cs="宋体"/>
                <w:sz w:val="24"/>
              </w:rPr>
            </w:pPr>
            <w:r>
              <w:rPr>
                <w:rFonts w:hint="eastAsia" w:ascii="宋体" w:hAnsi="宋体" w:cs="宋体"/>
                <w:sz w:val="24"/>
              </w:rPr>
              <w:t>19</w:t>
            </w:r>
          </w:p>
        </w:tc>
        <w:tc>
          <w:tcPr>
            <w:tcW w:w="980" w:type="pct"/>
            <w:vAlign w:val="center"/>
          </w:tcPr>
          <w:p>
            <w:pPr>
              <w:jc w:val="center"/>
              <w:rPr>
                <w:rFonts w:ascii="宋体" w:hAnsi="宋体" w:cs="宋体"/>
                <w:sz w:val="24"/>
              </w:rPr>
            </w:pPr>
            <w:r>
              <w:rPr>
                <w:rFonts w:hint="eastAsia" w:ascii="宋体" w:hAnsi="宋体" w:cs="宋体"/>
                <w:sz w:val="24"/>
              </w:rPr>
              <w:t>提示语自定义</w:t>
            </w:r>
          </w:p>
        </w:tc>
        <w:tc>
          <w:tcPr>
            <w:tcW w:w="3648" w:type="pct"/>
            <w:vAlign w:val="center"/>
          </w:tcPr>
          <w:p>
            <w:pPr>
              <w:rPr>
                <w:rFonts w:ascii="宋体" w:hAnsi="宋体" w:cs="宋体"/>
                <w:sz w:val="24"/>
                <w:lang w:val="zh-TW"/>
              </w:rPr>
            </w:pPr>
            <w:r>
              <w:rPr>
                <w:rFonts w:hint="eastAsia" w:ascii="宋体" w:hAnsi="宋体" w:cs="宋体"/>
                <w:sz w:val="24"/>
                <w:lang w:val="zh-TW"/>
              </w:rPr>
              <w:t>支持WEB端管理终端软件提示语内容。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0" w:type="pct"/>
            <w:vAlign w:val="center"/>
          </w:tcPr>
          <w:p>
            <w:pPr>
              <w:jc w:val="center"/>
              <w:rPr>
                <w:rFonts w:ascii="宋体" w:hAnsi="宋体" w:cs="宋体"/>
                <w:sz w:val="24"/>
              </w:rPr>
            </w:pPr>
            <w:r>
              <w:rPr>
                <w:rFonts w:hint="eastAsia" w:ascii="宋体" w:hAnsi="宋体" w:cs="宋体"/>
                <w:sz w:val="24"/>
              </w:rPr>
              <w:t>20</w:t>
            </w:r>
          </w:p>
        </w:tc>
        <w:tc>
          <w:tcPr>
            <w:tcW w:w="980" w:type="pct"/>
            <w:vAlign w:val="center"/>
          </w:tcPr>
          <w:p>
            <w:pPr>
              <w:jc w:val="center"/>
              <w:rPr>
                <w:rFonts w:ascii="宋体" w:hAnsi="宋体" w:cs="宋体"/>
                <w:sz w:val="24"/>
              </w:rPr>
            </w:pPr>
            <w:r>
              <w:rPr>
                <w:rFonts w:hint="eastAsia" w:ascii="宋体" w:hAnsi="宋体" w:cs="宋体"/>
                <w:sz w:val="24"/>
              </w:rPr>
              <w:t>患者隐私</w:t>
            </w:r>
          </w:p>
        </w:tc>
        <w:tc>
          <w:tcPr>
            <w:tcW w:w="3648" w:type="pct"/>
            <w:vAlign w:val="center"/>
          </w:tcPr>
          <w:p>
            <w:pPr>
              <w:rPr>
                <w:rFonts w:ascii="宋体" w:hAnsi="宋体" w:cs="宋体"/>
                <w:sz w:val="24"/>
                <w:lang w:val="zh-TW"/>
              </w:rPr>
            </w:pPr>
            <w:r>
              <w:rPr>
                <w:rFonts w:hint="eastAsia" w:ascii="宋体" w:hAnsi="宋体" w:cs="宋体"/>
                <w:sz w:val="24"/>
                <w:lang w:val="zh-TW"/>
              </w:rPr>
              <w:t>支持终端患者姓名隐藏规则配置。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0" w:type="pct"/>
            <w:vAlign w:val="center"/>
          </w:tcPr>
          <w:p>
            <w:pPr>
              <w:jc w:val="center"/>
              <w:rPr>
                <w:rFonts w:ascii="宋体" w:hAnsi="宋体" w:cs="宋体"/>
                <w:sz w:val="24"/>
              </w:rPr>
            </w:pPr>
            <w:r>
              <w:rPr>
                <w:rFonts w:hint="eastAsia" w:ascii="宋体" w:hAnsi="宋体" w:cs="宋体"/>
                <w:sz w:val="24"/>
              </w:rPr>
              <w:t>21</w:t>
            </w:r>
          </w:p>
        </w:tc>
        <w:tc>
          <w:tcPr>
            <w:tcW w:w="980" w:type="pct"/>
            <w:vAlign w:val="center"/>
          </w:tcPr>
          <w:p>
            <w:pPr>
              <w:jc w:val="center"/>
              <w:rPr>
                <w:rFonts w:ascii="宋体" w:hAnsi="宋体" w:cs="宋体"/>
                <w:sz w:val="24"/>
              </w:rPr>
            </w:pPr>
            <w:r>
              <w:rPr>
                <w:rFonts w:hint="eastAsia" w:ascii="宋体" w:hAnsi="宋体" w:cs="宋体"/>
                <w:sz w:val="24"/>
              </w:rPr>
              <w:t>报告签章嵌入</w:t>
            </w:r>
          </w:p>
        </w:tc>
        <w:tc>
          <w:tcPr>
            <w:tcW w:w="3648" w:type="pct"/>
            <w:vAlign w:val="center"/>
          </w:tcPr>
          <w:p>
            <w:pPr>
              <w:rPr>
                <w:rFonts w:ascii="宋体" w:hAnsi="宋体" w:cs="宋体"/>
                <w:sz w:val="24"/>
                <w:lang w:val="zh-TW"/>
              </w:rPr>
            </w:pPr>
            <w:r>
              <w:rPr>
                <w:rFonts w:hint="eastAsia" w:ascii="宋体" w:hAnsi="宋体" w:cs="宋体"/>
                <w:sz w:val="24"/>
                <w:lang w:val="zh-TW"/>
              </w:rPr>
              <w:t>支持在报告上添加签章。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0" w:type="pct"/>
            <w:vAlign w:val="center"/>
          </w:tcPr>
          <w:p>
            <w:pPr>
              <w:jc w:val="center"/>
              <w:rPr>
                <w:rFonts w:ascii="宋体" w:hAnsi="宋体" w:cs="宋体"/>
                <w:sz w:val="24"/>
              </w:rPr>
            </w:pPr>
            <w:r>
              <w:rPr>
                <w:rFonts w:hint="eastAsia" w:ascii="宋体" w:hAnsi="宋体" w:cs="宋体"/>
                <w:sz w:val="24"/>
              </w:rPr>
              <w:t>22</w:t>
            </w:r>
          </w:p>
        </w:tc>
        <w:tc>
          <w:tcPr>
            <w:tcW w:w="980" w:type="pct"/>
            <w:vAlign w:val="center"/>
          </w:tcPr>
          <w:p>
            <w:pPr>
              <w:jc w:val="center"/>
              <w:rPr>
                <w:rFonts w:ascii="宋体" w:hAnsi="宋体" w:cs="宋体"/>
                <w:sz w:val="24"/>
              </w:rPr>
            </w:pPr>
            <w:r>
              <w:rPr>
                <w:rFonts w:hint="eastAsia" w:ascii="宋体" w:hAnsi="宋体" w:cs="宋体"/>
                <w:sz w:val="24"/>
              </w:rPr>
              <w:t>终端检查</w:t>
            </w:r>
          </w:p>
        </w:tc>
        <w:tc>
          <w:tcPr>
            <w:tcW w:w="3648" w:type="pct"/>
            <w:vAlign w:val="center"/>
          </w:tcPr>
          <w:p>
            <w:pPr>
              <w:rPr>
                <w:rFonts w:ascii="宋体" w:hAnsi="宋体" w:cs="宋体"/>
                <w:sz w:val="24"/>
                <w:lang w:val="zh-TW"/>
              </w:rPr>
            </w:pPr>
            <w:r>
              <w:rPr>
                <w:rFonts w:hint="eastAsia" w:ascii="宋体" w:hAnsi="宋体" w:cs="宋体"/>
                <w:sz w:val="24"/>
                <w:lang w:val="zh-TW"/>
              </w:rPr>
              <w:t>支持设置终端软件开机设置检查项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0" w:type="pct"/>
            <w:vAlign w:val="center"/>
          </w:tcPr>
          <w:p>
            <w:pPr>
              <w:jc w:val="center"/>
              <w:rPr>
                <w:rFonts w:ascii="宋体" w:hAnsi="宋体" w:cs="宋体"/>
                <w:sz w:val="24"/>
              </w:rPr>
            </w:pPr>
            <w:r>
              <w:rPr>
                <w:rFonts w:hint="eastAsia" w:ascii="宋体" w:hAnsi="宋体" w:cs="宋体"/>
                <w:sz w:val="24"/>
              </w:rPr>
              <w:t>23</w:t>
            </w:r>
          </w:p>
        </w:tc>
        <w:tc>
          <w:tcPr>
            <w:tcW w:w="980" w:type="pct"/>
            <w:vAlign w:val="center"/>
          </w:tcPr>
          <w:p>
            <w:pPr>
              <w:jc w:val="center"/>
              <w:rPr>
                <w:rFonts w:ascii="宋体" w:hAnsi="宋体" w:cs="宋体"/>
                <w:sz w:val="24"/>
              </w:rPr>
            </w:pPr>
            <w:r>
              <w:rPr>
                <w:rFonts w:hint="eastAsia" w:ascii="宋体" w:hAnsi="宋体" w:cs="宋体"/>
                <w:sz w:val="24"/>
              </w:rPr>
              <w:t>引导语自定义</w:t>
            </w:r>
          </w:p>
        </w:tc>
        <w:tc>
          <w:tcPr>
            <w:tcW w:w="3648" w:type="pct"/>
            <w:vAlign w:val="center"/>
          </w:tcPr>
          <w:p>
            <w:pPr>
              <w:rPr>
                <w:rFonts w:ascii="宋体" w:hAnsi="宋体" w:cs="宋体"/>
                <w:sz w:val="24"/>
              </w:rPr>
            </w:pPr>
            <w:r>
              <w:rPr>
                <w:rFonts w:hint="eastAsia" w:ascii="宋体" w:hAnsi="宋体" w:cs="宋体"/>
                <w:sz w:val="24"/>
                <w:lang w:val="zh-TW"/>
              </w:rPr>
              <w:t>支持设置各种场景引导语。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0" w:type="pct"/>
            <w:vAlign w:val="center"/>
          </w:tcPr>
          <w:p>
            <w:pPr>
              <w:jc w:val="center"/>
              <w:rPr>
                <w:rFonts w:ascii="宋体" w:hAnsi="宋体" w:cs="宋体"/>
                <w:sz w:val="24"/>
              </w:rPr>
            </w:pPr>
            <w:r>
              <w:rPr>
                <w:rFonts w:hint="eastAsia" w:ascii="宋体" w:hAnsi="宋体" w:cs="宋体"/>
                <w:sz w:val="24"/>
              </w:rPr>
              <w:t>24</w:t>
            </w:r>
          </w:p>
        </w:tc>
        <w:tc>
          <w:tcPr>
            <w:tcW w:w="980" w:type="pct"/>
            <w:vAlign w:val="center"/>
          </w:tcPr>
          <w:p>
            <w:pPr>
              <w:jc w:val="center"/>
              <w:rPr>
                <w:rFonts w:ascii="宋体" w:hAnsi="宋体" w:cs="宋体"/>
                <w:sz w:val="24"/>
                <w:lang w:val="zh-TW" w:eastAsia="zh-TW"/>
              </w:rPr>
            </w:pPr>
            <w:r>
              <w:rPr>
                <w:rFonts w:hint="eastAsia" w:ascii="宋体" w:hAnsi="宋体" w:cs="宋体"/>
                <w:sz w:val="24"/>
                <w:lang w:val="zh-TW"/>
              </w:rPr>
              <w:t>权限管理</w:t>
            </w:r>
          </w:p>
        </w:tc>
        <w:tc>
          <w:tcPr>
            <w:tcW w:w="3648" w:type="pct"/>
            <w:vAlign w:val="center"/>
          </w:tcPr>
          <w:p>
            <w:pPr>
              <w:rPr>
                <w:rFonts w:ascii="宋体" w:hAnsi="宋体" w:cs="宋体"/>
                <w:sz w:val="24"/>
              </w:rPr>
            </w:pPr>
            <w:r>
              <w:rPr>
                <w:rFonts w:hint="eastAsia" w:ascii="宋体" w:hAnsi="宋体" w:cs="宋体"/>
                <w:sz w:val="24"/>
              </w:rPr>
              <w:t>可根据不同用户角色对查询系统进行权限配置。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70" w:type="pct"/>
            <w:vAlign w:val="center"/>
          </w:tcPr>
          <w:p>
            <w:pPr>
              <w:jc w:val="center"/>
              <w:rPr>
                <w:rFonts w:ascii="宋体" w:hAnsi="宋体" w:cs="宋体"/>
                <w:sz w:val="24"/>
              </w:rPr>
            </w:pPr>
            <w:r>
              <w:rPr>
                <w:rFonts w:hint="eastAsia" w:ascii="宋体" w:hAnsi="宋体" w:cs="宋体"/>
                <w:sz w:val="24"/>
              </w:rPr>
              <w:t>25</w:t>
            </w:r>
          </w:p>
        </w:tc>
        <w:tc>
          <w:tcPr>
            <w:tcW w:w="980" w:type="pct"/>
            <w:vAlign w:val="center"/>
          </w:tcPr>
          <w:p>
            <w:pPr>
              <w:jc w:val="center"/>
              <w:rPr>
                <w:rFonts w:ascii="宋体" w:hAnsi="宋体" w:cs="宋体"/>
                <w:sz w:val="24"/>
                <w:lang w:val="zh-TW"/>
              </w:rPr>
            </w:pPr>
            <w:r>
              <w:rPr>
                <w:rFonts w:hint="eastAsia" w:ascii="宋体" w:hAnsi="宋体" w:cs="宋体"/>
                <w:sz w:val="24"/>
                <w:lang w:val="zh-TW"/>
              </w:rPr>
              <w:t>前置服务</w:t>
            </w:r>
          </w:p>
        </w:tc>
        <w:tc>
          <w:tcPr>
            <w:tcW w:w="3648" w:type="pct"/>
            <w:vAlign w:val="center"/>
          </w:tcPr>
          <w:p>
            <w:pPr>
              <w:rPr>
                <w:rFonts w:ascii="宋体" w:hAnsi="宋体" w:cs="宋体"/>
                <w:sz w:val="24"/>
                <w:lang w:val="zh-TW"/>
              </w:rPr>
            </w:pPr>
            <w:r>
              <w:rPr>
                <w:rFonts w:hint="eastAsia" w:ascii="宋体" w:hAnsi="宋体" w:cs="宋体"/>
                <w:sz w:val="24"/>
                <w:lang w:val="zh-TW"/>
              </w:rPr>
              <w:t>通过与前置机的接口，实现院外数据请求，院内数据推送的功能。</w:t>
            </w:r>
          </w:p>
        </w:tc>
      </w:tr>
    </w:tbl>
    <w:p>
      <w:pPr>
        <w:adjustRightInd w:val="0"/>
        <w:snapToGrid w:val="0"/>
        <w:spacing w:before="97"/>
        <w:rPr>
          <w:rFonts w:ascii="宋体" w:hAnsi="宋体" w:cs="宋体"/>
          <w:b/>
          <w:bCs/>
          <w:sz w:val="24"/>
        </w:rPr>
      </w:pPr>
    </w:p>
    <w:p>
      <w:pPr>
        <w:adjustRightInd w:val="0"/>
        <w:snapToGrid w:val="0"/>
        <w:spacing w:before="97"/>
        <w:rPr>
          <w:rFonts w:ascii="宋体" w:hAnsi="宋体" w:cs="宋体"/>
          <w:b/>
          <w:bCs/>
          <w:sz w:val="24"/>
        </w:rPr>
      </w:pPr>
      <w:r>
        <w:rPr>
          <w:rFonts w:hint="eastAsia" w:ascii="宋体" w:hAnsi="宋体" w:cs="宋体"/>
          <w:b/>
          <w:bCs/>
          <w:sz w:val="24"/>
        </w:rPr>
        <w:t>（4）计算机维保服务要求</w:t>
      </w:r>
    </w:p>
    <w:p>
      <w:pPr>
        <w:adjustRightInd w:val="0"/>
        <w:snapToGrid w:val="0"/>
        <w:spacing w:before="97" w:line="480" w:lineRule="exact"/>
        <w:ind w:firstLine="480"/>
        <w:rPr>
          <w:rFonts w:ascii="宋体" w:hAnsi="宋体" w:cs="宋体"/>
          <w:sz w:val="24"/>
        </w:rPr>
      </w:pPr>
      <w:r>
        <w:rPr>
          <w:rFonts w:hint="eastAsia" w:ascii="宋体" w:hAnsi="宋体" w:cs="宋体"/>
          <w:sz w:val="24"/>
        </w:rPr>
        <w:t>供应商为采购人提供现正使用的所有计算机的维护及技术支持，以保证采购人计算机设备的正常、稳定运行。要求如下：</w:t>
      </w:r>
    </w:p>
    <w:tbl>
      <w:tblPr>
        <w:tblStyle w:val="1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6"/>
        <w:gridCol w:w="85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696" w:type="pct"/>
            <w:shd w:val="clear" w:color="auto" w:fill="D8D8D8"/>
            <w:noWrap/>
            <w:vAlign w:val="center"/>
          </w:tcPr>
          <w:p>
            <w:pPr>
              <w:pStyle w:val="42"/>
              <w:adjustRightInd w:val="0"/>
              <w:snapToGrid w:val="0"/>
              <w:spacing w:before="97" w:line="480" w:lineRule="exact"/>
              <w:ind w:firstLine="0"/>
              <w:jc w:val="center"/>
              <w:rPr>
                <w:rFonts w:ascii="宋体" w:hAnsi="宋体" w:cs="宋体"/>
                <w:b/>
                <w:sz w:val="24"/>
                <w:szCs w:val="24"/>
              </w:rPr>
            </w:pPr>
            <w:r>
              <w:rPr>
                <w:rFonts w:hint="eastAsia" w:ascii="宋体" w:hAnsi="宋体" w:cs="宋体"/>
                <w:b/>
                <w:sz w:val="24"/>
                <w:szCs w:val="24"/>
              </w:rPr>
              <w:t>序号</w:t>
            </w:r>
          </w:p>
        </w:tc>
        <w:tc>
          <w:tcPr>
            <w:tcW w:w="4303" w:type="pct"/>
            <w:shd w:val="clear" w:color="auto" w:fill="D8D8D8"/>
            <w:noWrap/>
            <w:vAlign w:val="center"/>
          </w:tcPr>
          <w:p>
            <w:pPr>
              <w:pStyle w:val="42"/>
              <w:adjustRightInd w:val="0"/>
              <w:snapToGrid w:val="0"/>
              <w:spacing w:before="97" w:line="480" w:lineRule="exact"/>
              <w:ind w:firstLine="0"/>
              <w:jc w:val="center"/>
              <w:rPr>
                <w:rFonts w:ascii="宋体" w:hAnsi="宋体" w:cs="宋体"/>
                <w:b/>
                <w:sz w:val="24"/>
                <w:szCs w:val="24"/>
              </w:rPr>
            </w:pPr>
            <w:r>
              <w:rPr>
                <w:rFonts w:hint="eastAsia" w:ascii="宋体" w:hAnsi="宋体" w:cs="宋体"/>
                <w:b/>
                <w:sz w:val="24"/>
                <w:szCs w:val="24"/>
              </w:rPr>
              <w:t>服务要求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96" w:type="pct"/>
            <w:noWrap/>
            <w:vAlign w:val="center"/>
          </w:tcPr>
          <w:p>
            <w:pPr>
              <w:adjustRightInd w:val="0"/>
              <w:snapToGrid w:val="0"/>
              <w:spacing w:before="97" w:line="480" w:lineRule="exact"/>
              <w:jc w:val="center"/>
              <w:rPr>
                <w:rFonts w:ascii="宋体" w:hAnsi="宋体" w:cs="宋体"/>
                <w:sz w:val="24"/>
              </w:rPr>
            </w:pPr>
            <w:r>
              <w:rPr>
                <w:rFonts w:hint="eastAsia" w:ascii="宋体" w:hAnsi="宋体" w:cs="宋体"/>
                <w:sz w:val="24"/>
              </w:rPr>
              <w:t>1</w:t>
            </w:r>
          </w:p>
        </w:tc>
        <w:tc>
          <w:tcPr>
            <w:tcW w:w="4303" w:type="pct"/>
            <w:noWrap/>
            <w:vAlign w:val="center"/>
          </w:tcPr>
          <w:p>
            <w:pPr>
              <w:spacing w:before="97" w:line="480" w:lineRule="exact"/>
              <w:rPr>
                <w:rFonts w:ascii="宋体" w:hAnsi="宋体" w:cs="宋体"/>
                <w:sz w:val="24"/>
              </w:rPr>
            </w:pPr>
            <w:r>
              <w:rPr>
                <w:rFonts w:hint="eastAsia" w:ascii="宋体" w:hAnsi="宋体" w:cs="宋体"/>
                <w:kern w:val="0"/>
                <w:sz w:val="24"/>
              </w:rPr>
              <w:t>信息系统各类计算机的运行维护服务是指全院的计算机硬件维修（不含配件费用）与保养、系统桌面维护（是指操作系统和本院其它业务系统软件安装、调试、搬迁、联网等）以及人工服务。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96" w:type="pct"/>
            <w:noWrap/>
            <w:vAlign w:val="center"/>
          </w:tcPr>
          <w:p>
            <w:pPr>
              <w:adjustRightInd w:val="0"/>
              <w:snapToGrid w:val="0"/>
              <w:spacing w:before="97" w:line="480" w:lineRule="exact"/>
              <w:jc w:val="center"/>
              <w:rPr>
                <w:rFonts w:ascii="宋体" w:hAnsi="宋体" w:cs="宋体"/>
                <w:sz w:val="24"/>
              </w:rPr>
            </w:pPr>
            <w:r>
              <w:rPr>
                <w:rFonts w:hint="eastAsia" w:ascii="宋体" w:hAnsi="宋体" w:cs="宋体"/>
                <w:sz w:val="24"/>
              </w:rPr>
              <w:t>2</w:t>
            </w:r>
          </w:p>
        </w:tc>
        <w:tc>
          <w:tcPr>
            <w:tcW w:w="4303" w:type="pct"/>
            <w:noWrap/>
            <w:vAlign w:val="center"/>
          </w:tcPr>
          <w:p>
            <w:pPr>
              <w:adjustRightInd w:val="0"/>
              <w:snapToGrid w:val="0"/>
              <w:spacing w:before="97" w:line="480" w:lineRule="exact"/>
              <w:rPr>
                <w:rFonts w:ascii="宋体" w:hAnsi="宋体" w:cs="宋体"/>
                <w:kern w:val="0"/>
                <w:sz w:val="24"/>
              </w:rPr>
            </w:pPr>
            <w:r>
              <w:rPr>
                <w:rFonts w:hint="eastAsia" w:ascii="宋体" w:hAnsi="宋体" w:cs="宋体"/>
                <w:kern w:val="0"/>
                <w:sz w:val="24"/>
              </w:rPr>
              <w:t>协助医院信息工程师完成计算机通用软件的安装、设置、优化、故障修复以及技术支持服务。通用软件包括操作系统（Windows、MacOS等）、办公套件（如：Office、WPS等）、安全软件（如：防病毒、防火墙软件等）以及常用工具软件（如：PDF阅读、压缩解压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96" w:type="pct"/>
            <w:noWrap/>
            <w:vAlign w:val="center"/>
          </w:tcPr>
          <w:p>
            <w:pPr>
              <w:adjustRightInd w:val="0"/>
              <w:snapToGrid w:val="0"/>
              <w:spacing w:before="97" w:line="480" w:lineRule="exact"/>
              <w:jc w:val="center"/>
              <w:rPr>
                <w:rFonts w:ascii="宋体" w:hAnsi="宋体" w:cs="宋体"/>
                <w:kern w:val="0"/>
                <w:sz w:val="24"/>
              </w:rPr>
            </w:pPr>
            <w:r>
              <w:rPr>
                <w:rFonts w:hint="eastAsia" w:ascii="宋体" w:hAnsi="宋体" w:cs="宋体"/>
                <w:kern w:val="0"/>
                <w:sz w:val="24"/>
              </w:rPr>
              <w:t>3</w:t>
            </w:r>
          </w:p>
        </w:tc>
        <w:tc>
          <w:tcPr>
            <w:tcW w:w="4303" w:type="pct"/>
            <w:noWrap/>
            <w:vAlign w:val="center"/>
          </w:tcPr>
          <w:p>
            <w:pPr>
              <w:adjustRightInd w:val="0"/>
              <w:snapToGrid w:val="0"/>
              <w:spacing w:before="97" w:line="480" w:lineRule="exact"/>
              <w:rPr>
                <w:rFonts w:ascii="宋体" w:hAnsi="宋体" w:cs="宋体"/>
                <w:kern w:val="0"/>
                <w:sz w:val="24"/>
              </w:rPr>
            </w:pPr>
            <w:r>
              <w:rPr>
                <w:rFonts w:hint="eastAsia" w:ascii="宋体" w:hAnsi="宋体" w:cs="宋体"/>
                <w:kern w:val="0"/>
                <w:sz w:val="24"/>
              </w:rPr>
              <w:t>PC端系统数据备份/恢复。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96" w:type="pct"/>
            <w:noWrap/>
            <w:vAlign w:val="center"/>
          </w:tcPr>
          <w:p>
            <w:pPr>
              <w:adjustRightInd w:val="0"/>
              <w:snapToGrid w:val="0"/>
              <w:spacing w:before="97" w:line="480" w:lineRule="exact"/>
              <w:jc w:val="center"/>
              <w:rPr>
                <w:rFonts w:ascii="宋体" w:hAnsi="宋体" w:cs="宋体"/>
                <w:kern w:val="0"/>
                <w:sz w:val="24"/>
              </w:rPr>
            </w:pPr>
            <w:r>
              <w:rPr>
                <w:rFonts w:hint="eastAsia" w:ascii="宋体" w:hAnsi="宋体" w:cs="宋体"/>
                <w:kern w:val="0"/>
                <w:sz w:val="24"/>
              </w:rPr>
              <w:t>4</w:t>
            </w:r>
          </w:p>
        </w:tc>
        <w:tc>
          <w:tcPr>
            <w:tcW w:w="4303" w:type="pct"/>
            <w:noWrap/>
            <w:vAlign w:val="center"/>
          </w:tcPr>
          <w:p>
            <w:pPr>
              <w:adjustRightInd w:val="0"/>
              <w:snapToGrid w:val="0"/>
              <w:spacing w:before="97" w:line="480" w:lineRule="exact"/>
              <w:rPr>
                <w:rFonts w:ascii="宋体" w:hAnsi="宋体" w:cs="宋体"/>
                <w:kern w:val="0"/>
                <w:sz w:val="24"/>
              </w:rPr>
            </w:pPr>
            <w:r>
              <w:rPr>
                <w:rFonts w:hint="eastAsia" w:ascii="宋体" w:hAnsi="宋体" w:cs="宋体"/>
                <w:kern w:val="0"/>
                <w:sz w:val="24"/>
              </w:rPr>
              <w:t>操作系统及应用软件的补丁更新及升级。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96" w:type="pct"/>
            <w:noWrap/>
            <w:vAlign w:val="center"/>
          </w:tcPr>
          <w:p>
            <w:pPr>
              <w:adjustRightInd w:val="0"/>
              <w:snapToGrid w:val="0"/>
              <w:spacing w:before="97" w:line="480" w:lineRule="exact"/>
              <w:jc w:val="center"/>
              <w:rPr>
                <w:rFonts w:ascii="宋体" w:hAnsi="宋体" w:cs="宋体"/>
                <w:kern w:val="0"/>
                <w:sz w:val="24"/>
              </w:rPr>
            </w:pPr>
            <w:r>
              <w:rPr>
                <w:rFonts w:hint="eastAsia" w:ascii="宋体" w:hAnsi="宋体" w:cs="宋体"/>
                <w:kern w:val="0"/>
                <w:sz w:val="24"/>
              </w:rPr>
              <w:t>5</w:t>
            </w:r>
          </w:p>
        </w:tc>
        <w:tc>
          <w:tcPr>
            <w:tcW w:w="4303" w:type="pct"/>
            <w:noWrap/>
            <w:vAlign w:val="center"/>
          </w:tcPr>
          <w:p>
            <w:pPr>
              <w:adjustRightInd w:val="0"/>
              <w:snapToGrid w:val="0"/>
              <w:spacing w:before="97" w:line="480" w:lineRule="exact"/>
              <w:rPr>
                <w:rFonts w:ascii="宋体" w:hAnsi="宋体" w:cs="宋体"/>
                <w:kern w:val="0"/>
                <w:sz w:val="24"/>
              </w:rPr>
            </w:pPr>
            <w:r>
              <w:rPr>
                <w:rFonts w:hint="eastAsia" w:ascii="宋体" w:hAnsi="宋体" w:cs="宋体"/>
                <w:kern w:val="0"/>
                <w:sz w:val="24"/>
              </w:rPr>
              <w:t>新旧网络点联网故障排除和连线。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96" w:type="pct"/>
            <w:noWrap/>
            <w:vAlign w:val="center"/>
          </w:tcPr>
          <w:p>
            <w:pPr>
              <w:adjustRightInd w:val="0"/>
              <w:snapToGrid w:val="0"/>
              <w:spacing w:before="97" w:line="480" w:lineRule="exact"/>
              <w:jc w:val="center"/>
              <w:rPr>
                <w:rFonts w:ascii="宋体" w:hAnsi="宋体" w:cs="宋体"/>
                <w:kern w:val="0"/>
                <w:sz w:val="24"/>
              </w:rPr>
            </w:pPr>
            <w:r>
              <w:rPr>
                <w:rFonts w:hint="eastAsia" w:ascii="宋体" w:hAnsi="宋体" w:cs="宋体"/>
                <w:kern w:val="0"/>
                <w:sz w:val="24"/>
              </w:rPr>
              <w:t>6</w:t>
            </w:r>
          </w:p>
        </w:tc>
        <w:tc>
          <w:tcPr>
            <w:tcW w:w="4303" w:type="pct"/>
            <w:noWrap/>
            <w:vAlign w:val="center"/>
          </w:tcPr>
          <w:p>
            <w:pPr>
              <w:adjustRightInd w:val="0"/>
              <w:snapToGrid w:val="0"/>
              <w:spacing w:before="97" w:line="480" w:lineRule="exact"/>
              <w:rPr>
                <w:rFonts w:ascii="宋体" w:hAnsi="宋体" w:cs="宋体"/>
                <w:kern w:val="0"/>
                <w:sz w:val="24"/>
              </w:rPr>
            </w:pPr>
            <w:r>
              <w:rPr>
                <w:rFonts w:hint="eastAsia" w:ascii="宋体" w:hAnsi="宋体" w:cs="宋体"/>
                <w:kern w:val="0"/>
                <w:sz w:val="24"/>
              </w:rPr>
              <w:t>计算机清洁和巡查每3个月一次（需根据本院的要求提供巡查清单，包括机器的配置、杀毒软件的运行情况等）。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96" w:type="pct"/>
            <w:noWrap/>
            <w:vAlign w:val="center"/>
          </w:tcPr>
          <w:p>
            <w:pPr>
              <w:adjustRightInd w:val="0"/>
              <w:snapToGrid w:val="0"/>
              <w:spacing w:before="97" w:line="480" w:lineRule="exact"/>
              <w:jc w:val="center"/>
              <w:rPr>
                <w:rFonts w:ascii="宋体" w:hAnsi="宋体" w:cs="宋体"/>
                <w:kern w:val="0"/>
                <w:sz w:val="24"/>
              </w:rPr>
            </w:pPr>
            <w:r>
              <w:rPr>
                <w:rFonts w:hint="eastAsia" w:ascii="宋体" w:hAnsi="宋体" w:cs="宋体"/>
                <w:kern w:val="0"/>
                <w:sz w:val="24"/>
              </w:rPr>
              <w:t>7</w:t>
            </w:r>
          </w:p>
        </w:tc>
        <w:tc>
          <w:tcPr>
            <w:tcW w:w="4303" w:type="pct"/>
            <w:noWrap/>
            <w:vAlign w:val="center"/>
          </w:tcPr>
          <w:p>
            <w:pPr>
              <w:adjustRightInd w:val="0"/>
              <w:snapToGrid w:val="0"/>
              <w:spacing w:before="97" w:line="480" w:lineRule="exact"/>
              <w:rPr>
                <w:rFonts w:ascii="宋体" w:hAnsi="宋体" w:cs="宋体"/>
                <w:kern w:val="0"/>
                <w:sz w:val="24"/>
              </w:rPr>
            </w:pPr>
            <w:r>
              <w:rPr>
                <w:rFonts w:hint="eastAsia" w:ascii="宋体" w:hAnsi="宋体" w:cs="宋体"/>
                <w:kern w:val="0"/>
                <w:sz w:val="24"/>
              </w:rPr>
              <w:t>其它客户端出现问题的解决。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96" w:type="pct"/>
            <w:noWrap/>
            <w:vAlign w:val="center"/>
          </w:tcPr>
          <w:p>
            <w:pPr>
              <w:adjustRightInd w:val="0"/>
              <w:snapToGrid w:val="0"/>
              <w:spacing w:before="97" w:line="480" w:lineRule="exact"/>
              <w:jc w:val="center"/>
              <w:rPr>
                <w:rFonts w:ascii="宋体" w:hAnsi="宋体" w:cs="宋体"/>
                <w:sz w:val="24"/>
              </w:rPr>
            </w:pPr>
            <w:r>
              <w:rPr>
                <w:rFonts w:hint="eastAsia" w:ascii="宋体" w:hAnsi="宋体" w:cs="宋体"/>
                <w:sz w:val="24"/>
              </w:rPr>
              <w:t>8</w:t>
            </w:r>
          </w:p>
        </w:tc>
        <w:tc>
          <w:tcPr>
            <w:tcW w:w="4303" w:type="pct"/>
            <w:noWrap/>
            <w:vAlign w:val="center"/>
          </w:tcPr>
          <w:p>
            <w:pPr>
              <w:adjustRightInd w:val="0"/>
              <w:snapToGrid w:val="0"/>
              <w:spacing w:before="97" w:line="480" w:lineRule="exact"/>
              <w:rPr>
                <w:rFonts w:ascii="宋体" w:hAnsi="宋体" w:cs="宋体"/>
                <w:sz w:val="24"/>
              </w:rPr>
            </w:pPr>
            <w:r>
              <w:rPr>
                <w:rFonts w:hint="eastAsia" w:ascii="宋体" w:hAnsi="宋体" w:cs="宋体"/>
                <w:sz w:val="24"/>
              </w:rPr>
              <w:t>故障响应时间：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96" w:type="pct"/>
            <w:noWrap/>
            <w:vAlign w:val="center"/>
          </w:tcPr>
          <w:p>
            <w:pPr>
              <w:adjustRightInd w:val="0"/>
              <w:snapToGrid w:val="0"/>
              <w:spacing w:before="97" w:line="480" w:lineRule="exact"/>
              <w:jc w:val="center"/>
              <w:rPr>
                <w:rFonts w:ascii="宋体" w:hAnsi="宋体" w:cs="宋体"/>
                <w:kern w:val="0"/>
                <w:sz w:val="24"/>
              </w:rPr>
            </w:pPr>
            <w:r>
              <w:rPr>
                <w:rFonts w:hint="eastAsia" w:ascii="宋体" w:hAnsi="宋体" w:cs="宋体"/>
                <w:kern w:val="0"/>
                <w:sz w:val="24"/>
              </w:rPr>
              <w:t>8.1</w:t>
            </w:r>
          </w:p>
        </w:tc>
        <w:tc>
          <w:tcPr>
            <w:tcW w:w="4303" w:type="pct"/>
            <w:noWrap/>
            <w:vAlign w:val="center"/>
          </w:tcPr>
          <w:p>
            <w:pPr>
              <w:adjustRightInd w:val="0"/>
              <w:snapToGrid w:val="0"/>
              <w:spacing w:before="97" w:line="480" w:lineRule="exact"/>
              <w:rPr>
                <w:rFonts w:ascii="宋体" w:hAnsi="宋体" w:cs="宋体"/>
                <w:kern w:val="0"/>
                <w:sz w:val="24"/>
              </w:rPr>
            </w:pPr>
            <w:r>
              <w:rPr>
                <w:rFonts w:hint="eastAsia" w:ascii="宋体" w:hAnsi="宋体" w:cs="宋体"/>
                <w:kern w:val="0"/>
                <w:sz w:val="24"/>
              </w:rPr>
              <w:t>普通故障响应时间：要求供应商7*24小时电话响应技术咨询，接到采购人维修通知后，30分钟内具有处理故障能力的维修人员到达故障服务现场。</w:t>
            </w:r>
          </w:p>
          <w:p>
            <w:pPr>
              <w:adjustRightInd w:val="0"/>
              <w:snapToGrid w:val="0"/>
              <w:spacing w:before="97" w:line="480" w:lineRule="exact"/>
              <w:rPr>
                <w:rFonts w:ascii="宋体" w:hAnsi="宋体" w:cs="宋体"/>
                <w:kern w:val="0"/>
                <w:sz w:val="24"/>
              </w:rPr>
            </w:pPr>
            <w:r>
              <w:rPr>
                <w:rFonts w:hint="eastAsia" w:ascii="宋体" w:hAnsi="宋体" w:cs="宋体"/>
                <w:kern w:val="0"/>
                <w:sz w:val="24"/>
              </w:rPr>
              <w:t>紧急故障响应时间：宕机故障或采购人要求的其他紧急事件，应在5分钟内电话响应，15分钟内到达故障服务现场。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96" w:type="pct"/>
            <w:noWrap/>
            <w:vAlign w:val="center"/>
          </w:tcPr>
          <w:p>
            <w:pPr>
              <w:adjustRightInd w:val="0"/>
              <w:snapToGrid w:val="0"/>
              <w:spacing w:before="97" w:line="480" w:lineRule="exact"/>
              <w:jc w:val="center"/>
              <w:rPr>
                <w:rFonts w:ascii="宋体" w:hAnsi="宋体" w:cs="宋体"/>
                <w:kern w:val="0"/>
                <w:sz w:val="24"/>
              </w:rPr>
            </w:pPr>
            <w:r>
              <w:rPr>
                <w:rFonts w:hint="eastAsia" w:ascii="宋体" w:hAnsi="宋体" w:cs="宋体"/>
                <w:kern w:val="0"/>
                <w:sz w:val="24"/>
              </w:rPr>
              <w:t>8.2</w:t>
            </w:r>
          </w:p>
        </w:tc>
        <w:tc>
          <w:tcPr>
            <w:tcW w:w="4303" w:type="pct"/>
            <w:noWrap/>
            <w:vAlign w:val="center"/>
          </w:tcPr>
          <w:p>
            <w:pPr>
              <w:adjustRightInd w:val="0"/>
              <w:snapToGrid w:val="0"/>
              <w:spacing w:before="97" w:line="480" w:lineRule="exact"/>
              <w:rPr>
                <w:rFonts w:ascii="宋体" w:hAnsi="宋体" w:cs="宋体"/>
                <w:kern w:val="0"/>
                <w:sz w:val="24"/>
              </w:rPr>
            </w:pPr>
            <w:r>
              <w:rPr>
                <w:rFonts w:hint="eastAsia" w:ascii="宋体" w:hAnsi="宋体" w:cs="宋体"/>
                <w:kern w:val="0"/>
                <w:sz w:val="24"/>
              </w:rPr>
              <w:t>故障恢复时间：按故障严重程度从高到低分为I～IV级。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96" w:type="pct"/>
            <w:noWrap/>
            <w:vAlign w:val="center"/>
          </w:tcPr>
          <w:p>
            <w:pPr>
              <w:adjustRightInd w:val="0"/>
              <w:snapToGrid w:val="0"/>
              <w:spacing w:before="97" w:line="480" w:lineRule="exact"/>
              <w:jc w:val="center"/>
              <w:rPr>
                <w:rFonts w:ascii="宋体" w:hAnsi="宋体" w:cs="宋体"/>
                <w:kern w:val="0"/>
                <w:sz w:val="24"/>
              </w:rPr>
            </w:pPr>
            <w:r>
              <w:rPr>
                <w:rFonts w:hint="eastAsia" w:ascii="宋体" w:hAnsi="宋体" w:cs="宋体"/>
                <w:kern w:val="0"/>
                <w:sz w:val="24"/>
              </w:rPr>
              <w:t>8.2.1</w:t>
            </w:r>
          </w:p>
        </w:tc>
        <w:tc>
          <w:tcPr>
            <w:tcW w:w="4303" w:type="pct"/>
            <w:noWrap/>
            <w:vAlign w:val="center"/>
          </w:tcPr>
          <w:p>
            <w:pPr>
              <w:adjustRightInd w:val="0"/>
              <w:snapToGrid w:val="0"/>
              <w:spacing w:before="97" w:line="480" w:lineRule="exact"/>
              <w:rPr>
                <w:rFonts w:ascii="宋体" w:hAnsi="宋体" w:cs="宋体"/>
                <w:kern w:val="0"/>
                <w:sz w:val="24"/>
              </w:rPr>
            </w:pPr>
            <w:r>
              <w:rPr>
                <w:rFonts w:hint="eastAsia" w:ascii="宋体" w:hAnsi="宋体" w:cs="宋体"/>
                <w:kern w:val="0"/>
                <w:sz w:val="24"/>
              </w:rPr>
              <w:t>I级故障：核心业务系统不可用或将导致业务数据缺失的，恢复时间在工作时间内不超过30分钟，非工作时间内不超过60分钟。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96" w:type="pct"/>
            <w:noWrap/>
            <w:vAlign w:val="center"/>
          </w:tcPr>
          <w:p>
            <w:pPr>
              <w:adjustRightInd w:val="0"/>
              <w:snapToGrid w:val="0"/>
              <w:spacing w:before="97" w:line="480" w:lineRule="exact"/>
              <w:jc w:val="center"/>
              <w:rPr>
                <w:rFonts w:ascii="宋体" w:hAnsi="宋体" w:cs="宋体"/>
                <w:kern w:val="0"/>
                <w:sz w:val="24"/>
              </w:rPr>
            </w:pPr>
            <w:r>
              <w:rPr>
                <w:rFonts w:hint="eastAsia" w:ascii="宋体" w:hAnsi="宋体" w:cs="宋体"/>
                <w:kern w:val="0"/>
                <w:sz w:val="24"/>
              </w:rPr>
              <w:t>8.2.2</w:t>
            </w:r>
          </w:p>
        </w:tc>
        <w:tc>
          <w:tcPr>
            <w:tcW w:w="4303" w:type="pct"/>
            <w:noWrap/>
            <w:vAlign w:val="center"/>
          </w:tcPr>
          <w:p>
            <w:pPr>
              <w:adjustRightInd w:val="0"/>
              <w:snapToGrid w:val="0"/>
              <w:spacing w:before="97" w:line="480" w:lineRule="exact"/>
              <w:rPr>
                <w:rFonts w:ascii="宋体" w:hAnsi="宋体" w:cs="宋体"/>
                <w:kern w:val="0"/>
                <w:sz w:val="24"/>
              </w:rPr>
            </w:pPr>
            <w:r>
              <w:rPr>
                <w:rFonts w:hint="eastAsia" w:ascii="宋体" w:hAnsi="宋体" w:cs="宋体"/>
                <w:kern w:val="0"/>
                <w:sz w:val="24"/>
              </w:rPr>
              <w:t>II级故障：核心业务系统失去冗余或可能导致业务系统不可用的，非核心业务系统不可用，恢复时间在工作日时间内（8时至17时）不超过60分钟，非工作时间内不超过2个小时。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96" w:type="pct"/>
            <w:noWrap/>
            <w:vAlign w:val="center"/>
          </w:tcPr>
          <w:p>
            <w:pPr>
              <w:adjustRightInd w:val="0"/>
              <w:snapToGrid w:val="0"/>
              <w:spacing w:before="97" w:line="480" w:lineRule="exact"/>
              <w:jc w:val="center"/>
              <w:rPr>
                <w:rFonts w:ascii="宋体" w:hAnsi="宋体" w:cs="宋体"/>
                <w:kern w:val="0"/>
                <w:sz w:val="24"/>
              </w:rPr>
            </w:pPr>
            <w:r>
              <w:rPr>
                <w:rFonts w:hint="eastAsia" w:ascii="宋体" w:hAnsi="宋体" w:cs="宋体"/>
                <w:kern w:val="0"/>
                <w:sz w:val="24"/>
              </w:rPr>
              <w:t>8.2.3</w:t>
            </w:r>
          </w:p>
        </w:tc>
        <w:tc>
          <w:tcPr>
            <w:tcW w:w="4303" w:type="pct"/>
            <w:noWrap/>
            <w:vAlign w:val="center"/>
          </w:tcPr>
          <w:p>
            <w:pPr>
              <w:adjustRightInd w:val="0"/>
              <w:snapToGrid w:val="0"/>
              <w:spacing w:before="97" w:line="480" w:lineRule="exact"/>
              <w:rPr>
                <w:rFonts w:ascii="宋体" w:hAnsi="宋体" w:cs="宋体"/>
                <w:kern w:val="0"/>
                <w:sz w:val="24"/>
              </w:rPr>
            </w:pPr>
            <w:r>
              <w:rPr>
                <w:rFonts w:hint="eastAsia" w:ascii="宋体" w:hAnsi="宋体" w:cs="宋体"/>
                <w:kern w:val="0"/>
                <w:sz w:val="24"/>
              </w:rPr>
              <w:t>III级故障：备份系统发生故障或可能II级以上故障风险的，恢复时间不超过4个小时。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96" w:type="pct"/>
            <w:noWrap/>
            <w:vAlign w:val="center"/>
          </w:tcPr>
          <w:p>
            <w:pPr>
              <w:adjustRightInd w:val="0"/>
              <w:snapToGrid w:val="0"/>
              <w:spacing w:before="97" w:line="480" w:lineRule="exact"/>
              <w:jc w:val="center"/>
              <w:rPr>
                <w:rFonts w:ascii="宋体" w:hAnsi="宋体" w:cs="宋体"/>
                <w:kern w:val="0"/>
                <w:sz w:val="24"/>
              </w:rPr>
            </w:pPr>
            <w:r>
              <w:rPr>
                <w:rFonts w:hint="eastAsia" w:ascii="宋体" w:hAnsi="宋体" w:cs="宋体"/>
                <w:kern w:val="0"/>
                <w:sz w:val="24"/>
              </w:rPr>
              <w:t>8.2.4</w:t>
            </w:r>
          </w:p>
        </w:tc>
        <w:tc>
          <w:tcPr>
            <w:tcW w:w="4303" w:type="pct"/>
            <w:noWrap/>
            <w:vAlign w:val="center"/>
          </w:tcPr>
          <w:p>
            <w:pPr>
              <w:adjustRightInd w:val="0"/>
              <w:snapToGrid w:val="0"/>
              <w:spacing w:before="97" w:line="480" w:lineRule="exact"/>
              <w:rPr>
                <w:rFonts w:ascii="宋体" w:hAnsi="宋体" w:cs="宋体"/>
                <w:kern w:val="0"/>
                <w:sz w:val="24"/>
              </w:rPr>
            </w:pPr>
            <w:r>
              <w:rPr>
                <w:rFonts w:hint="eastAsia" w:ascii="宋体" w:hAnsi="宋体" w:cs="宋体"/>
                <w:kern w:val="0"/>
                <w:sz w:val="24"/>
              </w:rPr>
              <w:t>IV级故障：其它隐患类故障，恢复时间由供应商与采购人的单位责任人协商决定，原则上不超过24个小时。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96" w:type="pct"/>
            <w:noWrap/>
            <w:vAlign w:val="center"/>
          </w:tcPr>
          <w:p>
            <w:pPr>
              <w:adjustRightInd w:val="0"/>
              <w:snapToGrid w:val="0"/>
              <w:spacing w:before="97" w:line="480" w:lineRule="exact"/>
              <w:jc w:val="center"/>
              <w:rPr>
                <w:rFonts w:ascii="宋体" w:hAnsi="宋体" w:cs="宋体"/>
                <w:kern w:val="0"/>
                <w:sz w:val="24"/>
              </w:rPr>
            </w:pPr>
            <w:r>
              <w:rPr>
                <w:rFonts w:hint="eastAsia" w:ascii="宋体" w:hAnsi="宋体" w:cs="宋体"/>
                <w:kern w:val="0"/>
                <w:sz w:val="24"/>
              </w:rPr>
              <w:t>8.2.5</w:t>
            </w:r>
          </w:p>
        </w:tc>
        <w:tc>
          <w:tcPr>
            <w:tcW w:w="4303" w:type="pct"/>
            <w:noWrap/>
            <w:vAlign w:val="center"/>
          </w:tcPr>
          <w:p>
            <w:pPr>
              <w:adjustRightInd w:val="0"/>
              <w:snapToGrid w:val="0"/>
              <w:spacing w:before="97" w:line="480" w:lineRule="exact"/>
              <w:rPr>
                <w:rFonts w:ascii="宋体" w:hAnsi="宋体" w:cs="宋体"/>
                <w:kern w:val="0"/>
                <w:sz w:val="24"/>
              </w:rPr>
            </w:pPr>
            <w:r>
              <w:rPr>
                <w:rFonts w:hint="eastAsia" w:ascii="宋体" w:hAnsi="宋体" w:cs="宋体"/>
                <w:kern w:val="0"/>
                <w:sz w:val="24"/>
              </w:rPr>
              <w:t>I、II级故障或III、IV级故障连续发生两次以上的，除提交故障处置报告以外还应提交问题分析报告，深度分析故障产生的原因，并提出预防性改善建议。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96" w:type="pct"/>
            <w:noWrap/>
            <w:vAlign w:val="center"/>
          </w:tcPr>
          <w:p>
            <w:pPr>
              <w:adjustRightInd w:val="0"/>
              <w:snapToGrid w:val="0"/>
              <w:spacing w:before="97" w:line="480" w:lineRule="exact"/>
              <w:jc w:val="center"/>
              <w:rPr>
                <w:rFonts w:ascii="宋体" w:hAnsi="宋体" w:cs="宋体"/>
                <w:kern w:val="0"/>
                <w:sz w:val="24"/>
              </w:rPr>
            </w:pPr>
            <w:r>
              <w:rPr>
                <w:rFonts w:hint="eastAsia" w:ascii="宋体" w:hAnsi="宋体" w:cs="宋体"/>
                <w:kern w:val="0"/>
                <w:sz w:val="24"/>
              </w:rPr>
              <w:t>8.2.6</w:t>
            </w:r>
          </w:p>
        </w:tc>
        <w:tc>
          <w:tcPr>
            <w:tcW w:w="4303" w:type="pct"/>
            <w:noWrap/>
            <w:vAlign w:val="center"/>
          </w:tcPr>
          <w:p>
            <w:pPr>
              <w:adjustRightInd w:val="0"/>
              <w:snapToGrid w:val="0"/>
              <w:spacing w:before="97" w:line="480" w:lineRule="exact"/>
              <w:rPr>
                <w:rFonts w:ascii="宋体" w:hAnsi="宋体" w:cs="宋体"/>
                <w:kern w:val="0"/>
                <w:sz w:val="24"/>
              </w:rPr>
            </w:pPr>
            <w:r>
              <w:rPr>
                <w:rFonts w:hint="eastAsia" w:ascii="宋体" w:hAnsi="宋体" w:cs="宋体"/>
                <w:kern w:val="0"/>
                <w:sz w:val="24"/>
              </w:rPr>
              <w:t>如因特殊无法在指定处置时间内修复故障的，需将故障原因、过渡方案等和恢复计划在故障发生后的8小时内向采购人的单位责任人书面上报（15分钟内以微信、短信、电话任何一种方式与采购单位终端负责人报告），并在此期间积极配合相关应用开发商实施过渡方案，全力保证应用的不间断，临时过渡方案产生的备品、重大活动（由采购人指定并提前通知）前及其举行期间，应根据采购人的具体要求对计算机系统设备进行额外的维护巡查，确保设备及系统在此期间的正常工作，必要时应增派专业技术人员在现场实施驻点保障服务。</w:t>
            </w:r>
          </w:p>
        </w:tc>
      </w:tr>
    </w:tbl>
    <w:p>
      <w:pPr>
        <w:spacing w:before="97" w:line="480" w:lineRule="exact"/>
        <w:rPr>
          <w:rFonts w:ascii="宋体" w:hAnsi="宋体" w:cs="宋体"/>
          <w:b/>
          <w:bCs/>
          <w:sz w:val="24"/>
        </w:rPr>
      </w:pPr>
    </w:p>
    <w:p>
      <w:pPr>
        <w:spacing w:before="97" w:line="480" w:lineRule="exact"/>
        <w:rPr>
          <w:rFonts w:ascii="宋体" w:hAnsi="宋体" w:cs="宋体"/>
          <w:b/>
          <w:bCs/>
          <w:sz w:val="24"/>
        </w:rPr>
      </w:pPr>
      <w:r>
        <w:rPr>
          <w:rFonts w:hint="eastAsia" w:ascii="宋体" w:hAnsi="宋体" w:cs="宋体"/>
          <w:b/>
          <w:bCs/>
          <w:sz w:val="24"/>
        </w:rPr>
        <w:t>（5）其他服务要求</w:t>
      </w:r>
    </w:p>
    <w:tbl>
      <w:tblPr>
        <w:tblStyle w:val="17"/>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5"/>
        <w:gridCol w:w="862"/>
        <w:gridCol w:w="1510"/>
        <w:gridCol w:w="67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tblHeader/>
        </w:trPr>
        <w:tc>
          <w:tcPr>
            <w:tcW w:w="414" w:type="pct"/>
            <w:shd w:val="clear" w:color="auto" w:fill="D8D8D8"/>
            <w:vAlign w:val="center"/>
          </w:tcPr>
          <w:p>
            <w:pPr>
              <w:spacing w:before="97" w:line="480" w:lineRule="exact"/>
              <w:jc w:val="center"/>
              <w:rPr>
                <w:rFonts w:ascii="宋体" w:hAnsi="宋体" w:cs="宋体"/>
                <w:b/>
                <w:bCs/>
                <w:sz w:val="24"/>
              </w:rPr>
            </w:pPr>
            <w:r>
              <w:rPr>
                <w:rFonts w:hint="eastAsia" w:ascii="宋体" w:hAnsi="宋体" w:cs="宋体"/>
                <w:b/>
                <w:bCs/>
                <w:sz w:val="24"/>
              </w:rPr>
              <w:t>序号</w:t>
            </w:r>
          </w:p>
        </w:tc>
        <w:tc>
          <w:tcPr>
            <w:tcW w:w="433" w:type="pct"/>
            <w:shd w:val="clear" w:color="auto" w:fill="D8D8D8"/>
            <w:vAlign w:val="center"/>
          </w:tcPr>
          <w:p>
            <w:pPr>
              <w:spacing w:before="97" w:line="480" w:lineRule="exact"/>
              <w:jc w:val="center"/>
              <w:rPr>
                <w:rFonts w:ascii="宋体" w:hAnsi="宋体" w:cs="宋体"/>
                <w:b/>
                <w:bCs/>
                <w:sz w:val="24"/>
              </w:rPr>
            </w:pPr>
            <w:r>
              <w:rPr>
                <w:rFonts w:hint="eastAsia" w:ascii="宋体" w:hAnsi="宋体" w:cs="宋体"/>
                <w:b/>
                <w:bCs/>
                <w:sz w:val="24"/>
              </w:rPr>
              <w:t>类别</w:t>
            </w:r>
          </w:p>
        </w:tc>
        <w:tc>
          <w:tcPr>
            <w:tcW w:w="758" w:type="pct"/>
            <w:shd w:val="clear" w:color="auto" w:fill="D8D8D8"/>
            <w:vAlign w:val="center"/>
          </w:tcPr>
          <w:p>
            <w:pPr>
              <w:spacing w:before="97" w:line="480" w:lineRule="exact"/>
              <w:jc w:val="center"/>
              <w:rPr>
                <w:rFonts w:ascii="宋体" w:hAnsi="宋体" w:cs="宋体"/>
                <w:b/>
                <w:bCs/>
                <w:sz w:val="24"/>
              </w:rPr>
            </w:pPr>
            <w:r>
              <w:rPr>
                <w:rFonts w:hint="eastAsia" w:ascii="宋体" w:hAnsi="宋体" w:cs="宋体"/>
                <w:b/>
                <w:bCs/>
                <w:sz w:val="24"/>
              </w:rPr>
              <w:t>服务项目</w:t>
            </w:r>
          </w:p>
        </w:tc>
        <w:tc>
          <w:tcPr>
            <w:tcW w:w="3393" w:type="pct"/>
            <w:shd w:val="clear" w:color="auto" w:fill="D8D8D8"/>
            <w:vAlign w:val="center"/>
          </w:tcPr>
          <w:p>
            <w:pPr>
              <w:spacing w:before="97" w:line="480" w:lineRule="exact"/>
              <w:jc w:val="center"/>
              <w:rPr>
                <w:rFonts w:ascii="宋体" w:hAnsi="宋体" w:cs="宋体"/>
                <w:b/>
                <w:bCs/>
                <w:sz w:val="24"/>
              </w:rPr>
            </w:pPr>
            <w:r>
              <w:rPr>
                <w:rFonts w:hint="eastAsia" w:ascii="宋体" w:hAnsi="宋体" w:cs="宋体"/>
                <w:b/>
                <w:bCs/>
                <w:sz w:val="24"/>
              </w:rPr>
              <w:t>描述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14" w:type="pct"/>
            <w:vMerge w:val="restart"/>
            <w:vAlign w:val="center"/>
          </w:tcPr>
          <w:p>
            <w:pPr>
              <w:spacing w:before="97" w:line="480" w:lineRule="exact"/>
              <w:jc w:val="center"/>
              <w:rPr>
                <w:rFonts w:ascii="宋体" w:hAnsi="宋体" w:cs="宋体"/>
                <w:sz w:val="24"/>
              </w:rPr>
            </w:pPr>
            <w:r>
              <w:rPr>
                <w:rFonts w:hint="eastAsia" w:ascii="宋体" w:hAnsi="宋体" w:cs="宋体"/>
                <w:sz w:val="24"/>
              </w:rPr>
              <w:t>1</w:t>
            </w:r>
          </w:p>
        </w:tc>
        <w:tc>
          <w:tcPr>
            <w:tcW w:w="433" w:type="pct"/>
            <w:vMerge w:val="restart"/>
            <w:vAlign w:val="center"/>
          </w:tcPr>
          <w:p>
            <w:pPr>
              <w:spacing w:before="97" w:line="480" w:lineRule="exact"/>
              <w:jc w:val="center"/>
              <w:rPr>
                <w:rFonts w:ascii="宋体" w:hAnsi="宋体" w:cs="宋体"/>
                <w:sz w:val="24"/>
              </w:rPr>
            </w:pPr>
            <w:r>
              <w:rPr>
                <w:rFonts w:hint="eastAsia" w:ascii="宋体" w:hAnsi="宋体" w:cs="宋体"/>
                <w:sz w:val="24"/>
              </w:rPr>
              <w:t>设备管理</w:t>
            </w:r>
          </w:p>
        </w:tc>
        <w:tc>
          <w:tcPr>
            <w:tcW w:w="758" w:type="pct"/>
            <w:vAlign w:val="center"/>
          </w:tcPr>
          <w:p>
            <w:pPr>
              <w:spacing w:before="97" w:line="480" w:lineRule="exact"/>
              <w:jc w:val="center"/>
              <w:rPr>
                <w:rFonts w:ascii="宋体" w:hAnsi="宋体" w:cs="宋体"/>
                <w:sz w:val="24"/>
              </w:rPr>
            </w:pPr>
            <w:r>
              <w:rPr>
                <w:rFonts w:hint="eastAsia" w:ascii="宋体" w:hAnsi="宋体" w:cs="宋体"/>
                <w:sz w:val="24"/>
              </w:rPr>
              <w:t>★硬件提供</w:t>
            </w:r>
          </w:p>
        </w:tc>
        <w:tc>
          <w:tcPr>
            <w:tcW w:w="3393" w:type="pct"/>
            <w:vAlign w:val="center"/>
          </w:tcPr>
          <w:p>
            <w:pPr>
              <w:spacing w:before="97" w:line="480" w:lineRule="exact"/>
              <w:rPr>
                <w:rFonts w:ascii="宋体" w:hAnsi="宋体" w:cs="宋体"/>
                <w:sz w:val="24"/>
              </w:rPr>
            </w:pPr>
            <w:r>
              <w:rPr>
                <w:rFonts w:hint="eastAsia" w:ascii="宋体" w:hAnsi="宋体" w:cs="宋体"/>
                <w:sz w:val="24"/>
              </w:rPr>
              <w:t>供应商须提供自助机报告机（根据各科室的打印内容及印量进行合理整合优化）；并且负责医院内现有约600台打印设备（包含激光打印机、喷墨打印机、热敏打印机、针式打印机、一体机等）的必要更新，如遇设备老化、故障，短期内无法修复使用，供应商须更新设备，更新设备的配置不能低于医院现有设备的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14" w:type="pct"/>
            <w:vMerge w:val="continue"/>
            <w:vAlign w:val="center"/>
          </w:tcPr>
          <w:p>
            <w:pPr>
              <w:spacing w:before="97" w:line="480" w:lineRule="exact"/>
              <w:jc w:val="center"/>
              <w:rPr>
                <w:rFonts w:ascii="宋体" w:hAnsi="宋体" w:cs="宋体"/>
                <w:sz w:val="24"/>
              </w:rPr>
            </w:pPr>
          </w:p>
        </w:tc>
        <w:tc>
          <w:tcPr>
            <w:tcW w:w="433" w:type="pct"/>
            <w:vMerge w:val="continue"/>
            <w:vAlign w:val="center"/>
          </w:tcPr>
          <w:p>
            <w:pPr>
              <w:spacing w:before="97" w:line="480" w:lineRule="exact"/>
              <w:jc w:val="center"/>
              <w:rPr>
                <w:rFonts w:ascii="宋体" w:hAnsi="宋体" w:cs="宋体"/>
                <w:sz w:val="24"/>
              </w:rPr>
            </w:pPr>
          </w:p>
        </w:tc>
        <w:tc>
          <w:tcPr>
            <w:tcW w:w="758" w:type="pct"/>
            <w:vAlign w:val="center"/>
          </w:tcPr>
          <w:p>
            <w:pPr>
              <w:spacing w:before="97" w:line="480" w:lineRule="exact"/>
              <w:jc w:val="center"/>
              <w:rPr>
                <w:rFonts w:ascii="宋体" w:hAnsi="宋体" w:cs="宋体"/>
                <w:sz w:val="24"/>
              </w:rPr>
            </w:pPr>
            <w:r>
              <w:rPr>
                <w:rFonts w:hint="eastAsia" w:ascii="宋体" w:hAnsi="宋体" w:cs="宋体"/>
                <w:sz w:val="24"/>
              </w:rPr>
              <w:t>★设备优化</w:t>
            </w:r>
          </w:p>
        </w:tc>
        <w:tc>
          <w:tcPr>
            <w:tcW w:w="3393" w:type="pct"/>
            <w:vAlign w:val="center"/>
          </w:tcPr>
          <w:p>
            <w:pPr>
              <w:spacing w:before="97" w:line="480" w:lineRule="exact"/>
              <w:rPr>
                <w:rFonts w:ascii="宋体" w:hAnsi="宋体" w:cs="宋体"/>
                <w:sz w:val="24"/>
              </w:rPr>
            </w:pPr>
            <w:r>
              <w:rPr>
                <w:rFonts w:hint="eastAsia" w:ascii="宋体" w:hAnsi="宋体" w:cs="宋体"/>
                <w:sz w:val="24"/>
              </w:rPr>
              <w:t>根据各科室的实际使用情况，提供设备优化整合建议，提供更高性能设备或自助机实现集中、自助打印的优化改造，医院提供支持和配合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14" w:type="pct"/>
            <w:vMerge w:val="continue"/>
            <w:vAlign w:val="center"/>
          </w:tcPr>
          <w:p>
            <w:pPr>
              <w:spacing w:before="97" w:line="480" w:lineRule="exact"/>
              <w:jc w:val="center"/>
              <w:rPr>
                <w:rFonts w:ascii="宋体" w:hAnsi="宋体" w:cs="宋体"/>
                <w:sz w:val="24"/>
              </w:rPr>
            </w:pPr>
          </w:p>
        </w:tc>
        <w:tc>
          <w:tcPr>
            <w:tcW w:w="433" w:type="pct"/>
            <w:vMerge w:val="continue"/>
            <w:vAlign w:val="center"/>
          </w:tcPr>
          <w:p>
            <w:pPr>
              <w:spacing w:before="97" w:line="480" w:lineRule="exact"/>
              <w:jc w:val="center"/>
              <w:rPr>
                <w:rFonts w:ascii="宋体" w:hAnsi="宋体" w:cs="宋体"/>
                <w:sz w:val="24"/>
              </w:rPr>
            </w:pPr>
          </w:p>
        </w:tc>
        <w:tc>
          <w:tcPr>
            <w:tcW w:w="758" w:type="pct"/>
            <w:vAlign w:val="center"/>
          </w:tcPr>
          <w:p>
            <w:pPr>
              <w:spacing w:before="97" w:line="480" w:lineRule="exact"/>
              <w:jc w:val="center"/>
              <w:rPr>
                <w:rFonts w:ascii="宋体" w:hAnsi="宋体" w:cs="宋体"/>
                <w:sz w:val="24"/>
              </w:rPr>
            </w:pPr>
            <w:r>
              <w:rPr>
                <w:rFonts w:hint="eastAsia" w:ascii="宋体" w:hAnsi="宋体" w:cs="宋体"/>
                <w:sz w:val="24"/>
              </w:rPr>
              <w:t>备件管理</w:t>
            </w:r>
          </w:p>
        </w:tc>
        <w:tc>
          <w:tcPr>
            <w:tcW w:w="3393" w:type="pct"/>
            <w:vAlign w:val="center"/>
          </w:tcPr>
          <w:p>
            <w:pPr>
              <w:spacing w:before="97" w:line="480" w:lineRule="exact"/>
              <w:rPr>
                <w:rFonts w:ascii="宋体" w:hAnsi="宋体" w:cs="宋体"/>
                <w:sz w:val="24"/>
              </w:rPr>
            </w:pPr>
            <w:r>
              <w:rPr>
                <w:rFonts w:hint="eastAsia" w:ascii="宋体" w:hAnsi="宋体" w:cs="宋体"/>
                <w:sz w:val="24"/>
              </w:rPr>
              <w:t>供应商需根据医院常规各类型设备提供备用机和备用零配件，备用机和备用零配件需存放在医院，备用机每种类型不少于2台；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14" w:type="pct"/>
            <w:vMerge w:val="restart"/>
            <w:vAlign w:val="center"/>
          </w:tcPr>
          <w:p>
            <w:pPr>
              <w:spacing w:before="97" w:line="480" w:lineRule="exact"/>
              <w:jc w:val="center"/>
              <w:rPr>
                <w:rFonts w:ascii="宋体" w:hAnsi="宋体" w:cs="宋体"/>
                <w:sz w:val="24"/>
              </w:rPr>
            </w:pPr>
            <w:r>
              <w:rPr>
                <w:rFonts w:hint="eastAsia" w:ascii="宋体" w:hAnsi="宋体" w:cs="宋体"/>
                <w:sz w:val="24"/>
              </w:rPr>
              <w:t>2</w:t>
            </w:r>
          </w:p>
        </w:tc>
        <w:tc>
          <w:tcPr>
            <w:tcW w:w="433" w:type="pct"/>
            <w:vMerge w:val="restart"/>
            <w:vAlign w:val="center"/>
          </w:tcPr>
          <w:p>
            <w:pPr>
              <w:spacing w:before="97" w:line="480" w:lineRule="exact"/>
              <w:jc w:val="center"/>
              <w:rPr>
                <w:rFonts w:ascii="宋体" w:hAnsi="宋体" w:cs="宋体"/>
                <w:sz w:val="24"/>
              </w:rPr>
            </w:pPr>
            <w:r>
              <w:rPr>
                <w:rFonts w:hint="eastAsia" w:ascii="宋体" w:hAnsi="宋体" w:cs="宋体"/>
                <w:sz w:val="24"/>
              </w:rPr>
              <w:t>耗材管理</w:t>
            </w:r>
          </w:p>
        </w:tc>
        <w:tc>
          <w:tcPr>
            <w:tcW w:w="758" w:type="pct"/>
            <w:vAlign w:val="center"/>
          </w:tcPr>
          <w:p>
            <w:pPr>
              <w:spacing w:before="97" w:line="480" w:lineRule="exact"/>
              <w:jc w:val="center"/>
              <w:rPr>
                <w:rFonts w:ascii="宋体" w:hAnsi="宋体" w:cs="宋体"/>
                <w:sz w:val="24"/>
              </w:rPr>
            </w:pPr>
            <w:r>
              <w:rPr>
                <w:rFonts w:hint="eastAsia" w:ascii="宋体" w:hAnsi="宋体" w:cs="宋体"/>
                <w:sz w:val="24"/>
              </w:rPr>
              <w:t>★耗材提供</w:t>
            </w:r>
          </w:p>
        </w:tc>
        <w:tc>
          <w:tcPr>
            <w:tcW w:w="3393" w:type="pct"/>
            <w:vAlign w:val="center"/>
          </w:tcPr>
          <w:p>
            <w:pPr>
              <w:spacing w:before="97" w:line="480" w:lineRule="exact"/>
              <w:rPr>
                <w:rFonts w:ascii="宋体" w:hAnsi="宋体" w:cs="宋体"/>
                <w:sz w:val="24"/>
              </w:rPr>
            </w:pPr>
            <w:r>
              <w:rPr>
                <w:rFonts w:hint="eastAsia" w:ascii="宋体" w:hAnsi="宋体" w:cs="宋体"/>
                <w:sz w:val="24"/>
              </w:rPr>
              <w:t>提供设备正常运转所需打印耗材并负责耗材院内配送服务，打印耗材包括硒鼓、墨盒、色带（纸张、订书针除外）。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14" w:type="pct"/>
            <w:vMerge w:val="continue"/>
            <w:vAlign w:val="center"/>
          </w:tcPr>
          <w:p>
            <w:pPr>
              <w:spacing w:before="97" w:line="480" w:lineRule="exact"/>
              <w:jc w:val="center"/>
              <w:rPr>
                <w:rFonts w:ascii="宋体" w:hAnsi="宋体" w:cs="宋体"/>
                <w:sz w:val="24"/>
              </w:rPr>
            </w:pPr>
          </w:p>
        </w:tc>
        <w:tc>
          <w:tcPr>
            <w:tcW w:w="433" w:type="pct"/>
            <w:vMerge w:val="continue"/>
            <w:vAlign w:val="center"/>
          </w:tcPr>
          <w:p>
            <w:pPr>
              <w:spacing w:before="97" w:line="480" w:lineRule="exact"/>
              <w:jc w:val="center"/>
              <w:rPr>
                <w:rFonts w:ascii="宋体" w:hAnsi="宋体" w:cs="宋体"/>
                <w:sz w:val="24"/>
              </w:rPr>
            </w:pPr>
          </w:p>
        </w:tc>
        <w:tc>
          <w:tcPr>
            <w:tcW w:w="758" w:type="pct"/>
            <w:vAlign w:val="center"/>
          </w:tcPr>
          <w:p>
            <w:pPr>
              <w:spacing w:before="97" w:line="480" w:lineRule="exact"/>
              <w:jc w:val="center"/>
              <w:rPr>
                <w:rFonts w:ascii="宋体" w:hAnsi="宋体" w:cs="宋体"/>
                <w:sz w:val="24"/>
              </w:rPr>
            </w:pPr>
            <w:r>
              <w:rPr>
                <w:rFonts w:hint="eastAsia" w:ascii="宋体" w:hAnsi="宋体" w:cs="宋体"/>
                <w:sz w:val="24"/>
              </w:rPr>
              <w:t>★耗材质量</w:t>
            </w:r>
          </w:p>
        </w:tc>
        <w:tc>
          <w:tcPr>
            <w:tcW w:w="3393" w:type="pct"/>
            <w:vAlign w:val="center"/>
          </w:tcPr>
          <w:p>
            <w:pPr>
              <w:spacing w:before="97" w:line="480" w:lineRule="exact"/>
              <w:rPr>
                <w:rFonts w:ascii="宋体" w:hAnsi="宋体" w:cs="宋体"/>
                <w:sz w:val="24"/>
              </w:rPr>
            </w:pPr>
            <w:r>
              <w:rPr>
                <w:rFonts w:hint="eastAsia" w:ascii="宋体" w:hAnsi="宋体" w:cs="宋体"/>
                <w:sz w:val="24"/>
              </w:rPr>
              <w:t>耗材要求适配医院在用的设备型号，提供国产品牌耗材或原装耗材，拒绝采用任何形式的二次灌粉硒鼓及在院内进行硒鼓灌装碳粉，一经发现立即终止合同，院方不再支付余款。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14" w:type="pct"/>
            <w:vMerge w:val="continue"/>
            <w:vAlign w:val="center"/>
          </w:tcPr>
          <w:p>
            <w:pPr>
              <w:spacing w:before="97" w:line="480" w:lineRule="exact"/>
              <w:jc w:val="center"/>
              <w:rPr>
                <w:rFonts w:ascii="宋体" w:hAnsi="宋体" w:cs="宋体"/>
                <w:sz w:val="24"/>
              </w:rPr>
            </w:pPr>
          </w:p>
        </w:tc>
        <w:tc>
          <w:tcPr>
            <w:tcW w:w="433" w:type="pct"/>
            <w:vMerge w:val="continue"/>
            <w:vAlign w:val="center"/>
          </w:tcPr>
          <w:p>
            <w:pPr>
              <w:spacing w:before="97" w:line="480" w:lineRule="exact"/>
              <w:jc w:val="center"/>
              <w:rPr>
                <w:rFonts w:ascii="宋体" w:hAnsi="宋体" w:cs="宋体"/>
                <w:sz w:val="24"/>
              </w:rPr>
            </w:pPr>
          </w:p>
        </w:tc>
        <w:tc>
          <w:tcPr>
            <w:tcW w:w="758" w:type="pct"/>
            <w:vAlign w:val="center"/>
          </w:tcPr>
          <w:p>
            <w:pPr>
              <w:spacing w:before="97" w:line="480" w:lineRule="exact"/>
              <w:jc w:val="center"/>
              <w:rPr>
                <w:rFonts w:ascii="宋体" w:hAnsi="宋体" w:cs="宋体"/>
                <w:sz w:val="24"/>
              </w:rPr>
            </w:pPr>
            <w:r>
              <w:rPr>
                <w:rFonts w:hint="eastAsia" w:ascii="宋体" w:hAnsi="宋体" w:cs="宋体"/>
                <w:sz w:val="24"/>
              </w:rPr>
              <w:t>备用耗材</w:t>
            </w:r>
          </w:p>
        </w:tc>
        <w:tc>
          <w:tcPr>
            <w:tcW w:w="3393" w:type="pct"/>
            <w:vAlign w:val="center"/>
          </w:tcPr>
          <w:p>
            <w:pPr>
              <w:spacing w:before="97" w:line="480" w:lineRule="exact"/>
              <w:rPr>
                <w:rFonts w:ascii="宋体" w:hAnsi="宋体" w:cs="宋体"/>
                <w:sz w:val="24"/>
              </w:rPr>
            </w:pPr>
            <w:r>
              <w:rPr>
                <w:rFonts w:hint="eastAsia" w:ascii="宋体" w:hAnsi="宋体" w:cs="宋体"/>
                <w:sz w:val="24"/>
              </w:rPr>
              <w:t>配备至少1个月的耗材使用量，满足设备正常的运转，耗材需存放在医院。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14" w:type="pct"/>
            <w:vMerge w:val="restart"/>
            <w:vAlign w:val="center"/>
          </w:tcPr>
          <w:p>
            <w:pPr>
              <w:spacing w:before="97" w:line="480" w:lineRule="exact"/>
              <w:jc w:val="center"/>
              <w:rPr>
                <w:rFonts w:ascii="宋体" w:hAnsi="宋体" w:cs="宋体"/>
                <w:sz w:val="24"/>
              </w:rPr>
            </w:pPr>
            <w:r>
              <w:rPr>
                <w:rFonts w:hint="eastAsia" w:ascii="宋体" w:hAnsi="宋体" w:cs="宋体"/>
                <w:sz w:val="24"/>
              </w:rPr>
              <w:t>3</w:t>
            </w:r>
          </w:p>
        </w:tc>
        <w:tc>
          <w:tcPr>
            <w:tcW w:w="433" w:type="pct"/>
            <w:vMerge w:val="restart"/>
            <w:vAlign w:val="center"/>
          </w:tcPr>
          <w:p>
            <w:pPr>
              <w:spacing w:before="97" w:line="480" w:lineRule="exact"/>
              <w:jc w:val="center"/>
              <w:rPr>
                <w:rFonts w:ascii="宋体" w:hAnsi="宋体" w:cs="宋体"/>
                <w:sz w:val="24"/>
              </w:rPr>
            </w:pPr>
            <w:r>
              <w:rPr>
                <w:rFonts w:hint="eastAsia" w:ascii="宋体" w:hAnsi="宋体" w:cs="宋体"/>
                <w:sz w:val="24"/>
              </w:rPr>
              <w:t>信息化建设</w:t>
            </w:r>
          </w:p>
        </w:tc>
        <w:tc>
          <w:tcPr>
            <w:tcW w:w="758" w:type="pct"/>
            <w:vAlign w:val="center"/>
          </w:tcPr>
          <w:p>
            <w:pPr>
              <w:spacing w:before="97" w:line="480" w:lineRule="exact"/>
              <w:jc w:val="center"/>
              <w:rPr>
                <w:rFonts w:ascii="宋体" w:hAnsi="宋体" w:cs="宋体"/>
                <w:sz w:val="24"/>
              </w:rPr>
            </w:pPr>
            <w:r>
              <w:rPr>
                <w:rFonts w:hint="eastAsia" w:ascii="宋体" w:hAnsi="宋体" w:cs="宋体"/>
                <w:sz w:val="24"/>
              </w:rPr>
              <w:t>★服务管理平台</w:t>
            </w:r>
          </w:p>
        </w:tc>
        <w:tc>
          <w:tcPr>
            <w:tcW w:w="3393" w:type="pct"/>
            <w:vAlign w:val="center"/>
          </w:tcPr>
          <w:p>
            <w:pPr>
              <w:spacing w:before="97" w:line="480" w:lineRule="exact"/>
              <w:rPr>
                <w:rFonts w:ascii="宋体" w:hAnsi="宋体" w:cs="宋体"/>
                <w:sz w:val="24"/>
              </w:rPr>
            </w:pPr>
            <w:r>
              <w:rPr>
                <w:rFonts w:hint="eastAsia" w:ascii="宋体" w:hAnsi="宋体" w:cs="宋体"/>
                <w:sz w:val="24"/>
              </w:rPr>
              <w:t>供应商需提供服务管理平台并根据医院要求将信息科相关设备全部纳入平台管理，并负责资产信息的及时盘点、更新。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14" w:type="pct"/>
            <w:vMerge w:val="continue"/>
            <w:vAlign w:val="center"/>
          </w:tcPr>
          <w:p>
            <w:pPr>
              <w:spacing w:before="97" w:line="480" w:lineRule="exact"/>
              <w:jc w:val="center"/>
              <w:rPr>
                <w:rFonts w:ascii="宋体" w:hAnsi="宋体" w:cs="宋体"/>
                <w:sz w:val="24"/>
              </w:rPr>
            </w:pPr>
          </w:p>
        </w:tc>
        <w:tc>
          <w:tcPr>
            <w:tcW w:w="433" w:type="pct"/>
            <w:vMerge w:val="continue"/>
            <w:vAlign w:val="center"/>
          </w:tcPr>
          <w:p>
            <w:pPr>
              <w:spacing w:before="97" w:line="480" w:lineRule="exact"/>
              <w:jc w:val="center"/>
              <w:rPr>
                <w:rFonts w:ascii="宋体" w:hAnsi="宋体" w:cs="宋体"/>
                <w:sz w:val="24"/>
              </w:rPr>
            </w:pPr>
          </w:p>
        </w:tc>
        <w:tc>
          <w:tcPr>
            <w:tcW w:w="758" w:type="pct"/>
            <w:vAlign w:val="center"/>
          </w:tcPr>
          <w:p>
            <w:pPr>
              <w:spacing w:before="97" w:line="480" w:lineRule="exact"/>
              <w:jc w:val="center"/>
              <w:rPr>
                <w:rFonts w:ascii="宋体" w:hAnsi="宋体" w:cs="宋体"/>
                <w:sz w:val="24"/>
              </w:rPr>
            </w:pPr>
            <w:r>
              <w:rPr>
                <w:rFonts w:hint="eastAsia" w:ascii="宋体" w:hAnsi="宋体" w:cs="宋体"/>
                <w:sz w:val="24"/>
              </w:rPr>
              <w:t>★检验检查互联互通系统集成</w:t>
            </w:r>
          </w:p>
        </w:tc>
        <w:tc>
          <w:tcPr>
            <w:tcW w:w="3393" w:type="pct"/>
            <w:vAlign w:val="center"/>
          </w:tcPr>
          <w:p>
            <w:pPr>
              <w:spacing w:before="97" w:line="480" w:lineRule="exact"/>
              <w:rPr>
                <w:rFonts w:ascii="宋体" w:hAnsi="宋体" w:cs="宋体"/>
                <w:sz w:val="24"/>
              </w:rPr>
            </w:pPr>
            <w:r>
              <w:rPr>
                <w:rFonts w:hint="eastAsia" w:ascii="宋体" w:hAnsi="宋体" w:cs="宋体"/>
                <w:sz w:val="24"/>
              </w:rPr>
              <w:t>提供集中自助打印平台，构建智能打印服务,实现全院(如检验、放射、B超、内镜、电子发票等）的图文报告、文件集中处理,所有图文资料统一通过业务服务器存储、匹配、打印、分发。</w:t>
            </w:r>
          </w:p>
          <w:p>
            <w:pPr>
              <w:spacing w:before="97" w:line="480" w:lineRule="exact"/>
              <w:rPr>
                <w:rFonts w:ascii="宋体" w:hAnsi="宋体" w:cs="宋体"/>
                <w:sz w:val="24"/>
              </w:rPr>
            </w:pPr>
            <w:r>
              <w:rPr>
                <w:rFonts w:hint="eastAsia" w:ascii="宋体" w:hAnsi="宋体" w:cs="宋体"/>
                <w:sz w:val="24"/>
              </w:rPr>
              <w:t>实现居民看病拿报告可通过自助机机实现自助报告，自助报告机一次性输出全部报告，实现“最多跑一次”打报告，提高就医体验。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14" w:type="pct"/>
            <w:vMerge w:val="restart"/>
            <w:vAlign w:val="center"/>
          </w:tcPr>
          <w:p>
            <w:pPr>
              <w:spacing w:before="97" w:line="480" w:lineRule="exact"/>
              <w:jc w:val="center"/>
              <w:rPr>
                <w:rFonts w:ascii="宋体" w:hAnsi="宋体" w:cs="宋体"/>
                <w:sz w:val="24"/>
              </w:rPr>
            </w:pPr>
            <w:r>
              <w:rPr>
                <w:rFonts w:hint="eastAsia" w:ascii="宋体" w:hAnsi="宋体" w:cs="宋体"/>
                <w:sz w:val="24"/>
              </w:rPr>
              <w:t>4</w:t>
            </w:r>
          </w:p>
        </w:tc>
        <w:tc>
          <w:tcPr>
            <w:tcW w:w="433" w:type="pct"/>
            <w:vMerge w:val="restart"/>
            <w:vAlign w:val="center"/>
          </w:tcPr>
          <w:p>
            <w:pPr>
              <w:spacing w:before="97" w:line="480" w:lineRule="exact"/>
              <w:jc w:val="center"/>
              <w:rPr>
                <w:rFonts w:ascii="宋体" w:hAnsi="宋体" w:cs="宋体"/>
                <w:sz w:val="24"/>
              </w:rPr>
            </w:pPr>
            <w:r>
              <w:rPr>
                <w:rFonts w:hint="eastAsia" w:ascii="宋体" w:hAnsi="宋体" w:cs="宋体"/>
                <w:sz w:val="24"/>
              </w:rPr>
              <w:t>驻场服务</w:t>
            </w:r>
          </w:p>
        </w:tc>
        <w:tc>
          <w:tcPr>
            <w:tcW w:w="758" w:type="pct"/>
            <w:vAlign w:val="center"/>
          </w:tcPr>
          <w:p>
            <w:pPr>
              <w:spacing w:before="97" w:line="480" w:lineRule="exact"/>
              <w:jc w:val="center"/>
              <w:rPr>
                <w:rFonts w:ascii="宋体" w:hAnsi="宋体" w:cs="宋体"/>
                <w:sz w:val="24"/>
              </w:rPr>
            </w:pPr>
            <w:r>
              <w:rPr>
                <w:rFonts w:hint="eastAsia" w:ascii="宋体" w:hAnsi="宋体" w:cs="宋体"/>
                <w:sz w:val="24"/>
              </w:rPr>
              <w:t>★驻场人员</w:t>
            </w:r>
          </w:p>
        </w:tc>
        <w:tc>
          <w:tcPr>
            <w:tcW w:w="3393" w:type="pct"/>
            <w:vAlign w:val="center"/>
          </w:tcPr>
          <w:p>
            <w:pPr>
              <w:spacing w:before="97" w:line="480" w:lineRule="exact"/>
              <w:rPr>
                <w:rFonts w:ascii="宋体" w:hAnsi="宋体" w:cs="宋体"/>
                <w:sz w:val="24"/>
              </w:rPr>
            </w:pPr>
            <w:r>
              <w:rPr>
                <w:rFonts w:hint="eastAsia" w:ascii="宋体" w:hAnsi="宋体" w:cs="宋体"/>
                <w:sz w:val="24"/>
              </w:rPr>
              <w:t>供应商须提供驻场人员不少于2人，7*8H驻场服务，保证工作日2个人在岗，节假日至少安排1个人值班，7*24小时电话响应技术咨询.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14" w:type="pct"/>
            <w:vMerge w:val="continue"/>
            <w:vAlign w:val="center"/>
          </w:tcPr>
          <w:p>
            <w:pPr>
              <w:spacing w:before="97" w:line="480" w:lineRule="exact"/>
              <w:jc w:val="center"/>
              <w:rPr>
                <w:rFonts w:ascii="宋体" w:hAnsi="宋体" w:cs="宋体"/>
                <w:sz w:val="24"/>
              </w:rPr>
            </w:pPr>
          </w:p>
        </w:tc>
        <w:tc>
          <w:tcPr>
            <w:tcW w:w="433" w:type="pct"/>
            <w:vMerge w:val="continue"/>
            <w:vAlign w:val="center"/>
          </w:tcPr>
          <w:p>
            <w:pPr>
              <w:spacing w:before="97" w:line="480" w:lineRule="exact"/>
              <w:jc w:val="center"/>
              <w:rPr>
                <w:rFonts w:ascii="宋体" w:hAnsi="宋体" w:cs="宋体"/>
                <w:sz w:val="24"/>
              </w:rPr>
            </w:pPr>
          </w:p>
        </w:tc>
        <w:tc>
          <w:tcPr>
            <w:tcW w:w="758" w:type="pct"/>
            <w:vAlign w:val="center"/>
          </w:tcPr>
          <w:p>
            <w:pPr>
              <w:spacing w:before="97" w:line="480" w:lineRule="exact"/>
              <w:jc w:val="center"/>
              <w:rPr>
                <w:rFonts w:ascii="宋体" w:hAnsi="宋体" w:cs="宋体"/>
                <w:sz w:val="24"/>
              </w:rPr>
            </w:pPr>
            <w:r>
              <w:rPr>
                <w:rFonts w:hint="eastAsia" w:ascii="宋体" w:hAnsi="宋体" w:cs="宋体"/>
                <w:sz w:val="24"/>
              </w:rPr>
              <w:t>人员考核</w:t>
            </w:r>
          </w:p>
        </w:tc>
        <w:tc>
          <w:tcPr>
            <w:tcW w:w="3393" w:type="pct"/>
            <w:vAlign w:val="center"/>
          </w:tcPr>
          <w:p>
            <w:pPr>
              <w:spacing w:before="97" w:line="480" w:lineRule="exact"/>
              <w:rPr>
                <w:rFonts w:ascii="宋体" w:hAnsi="宋体" w:cs="宋体"/>
                <w:sz w:val="24"/>
              </w:rPr>
            </w:pPr>
            <w:r>
              <w:rPr>
                <w:rFonts w:hint="eastAsia" w:ascii="宋体" w:hAnsi="宋体" w:cs="宋体"/>
                <w:sz w:val="24"/>
              </w:rPr>
              <w:t>接受医院对驻场人员进行维修能力、管理能力、综合素质进行考核，对考核三次不通过者，医院有权建议或要求更换.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14" w:type="pct"/>
            <w:vMerge w:val="continue"/>
            <w:vAlign w:val="center"/>
          </w:tcPr>
          <w:p>
            <w:pPr>
              <w:spacing w:before="97" w:line="480" w:lineRule="exact"/>
              <w:jc w:val="center"/>
              <w:rPr>
                <w:rFonts w:ascii="宋体" w:hAnsi="宋体" w:cs="宋体"/>
                <w:sz w:val="24"/>
              </w:rPr>
            </w:pPr>
          </w:p>
        </w:tc>
        <w:tc>
          <w:tcPr>
            <w:tcW w:w="433" w:type="pct"/>
            <w:vMerge w:val="continue"/>
            <w:vAlign w:val="center"/>
          </w:tcPr>
          <w:p>
            <w:pPr>
              <w:spacing w:before="97" w:line="480" w:lineRule="exact"/>
              <w:jc w:val="center"/>
              <w:rPr>
                <w:rFonts w:ascii="宋体" w:hAnsi="宋体" w:cs="宋体"/>
                <w:sz w:val="24"/>
              </w:rPr>
            </w:pPr>
          </w:p>
        </w:tc>
        <w:tc>
          <w:tcPr>
            <w:tcW w:w="758" w:type="pct"/>
            <w:vMerge w:val="restart"/>
            <w:vAlign w:val="center"/>
          </w:tcPr>
          <w:p>
            <w:pPr>
              <w:spacing w:before="97" w:line="480" w:lineRule="exact"/>
              <w:jc w:val="center"/>
              <w:rPr>
                <w:rFonts w:ascii="宋体" w:hAnsi="宋体" w:cs="宋体"/>
                <w:sz w:val="24"/>
              </w:rPr>
            </w:pPr>
          </w:p>
          <w:p>
            <w:pPr>
              <w:spacing w:before="97" w:line="480" w:lineRule="exact"/>
              <w:jc w:val="center"/>
              <w:rPr>
                <w:rFonts w:ascii="宋体" w:hAnsi="宋体" w:cs="宋体"/>
                <w:sz w:val="24"/>
              </w:rPr>
            </w:pPr>
            <w:r>
              <w:rPr>
                <w:rFonts w:hint="eastAsia" w:ascii="宋体" w:hAnsi="宋体" w:cs="宋体"/>
                <w:sz w:val="24"/>
              </w:rPr>
              <w:t>人员要求</w:t>
            </w:r>
          </w:p>
        </w:tc>
        <w:tc>
          <w:tcPr>
            <w:tcW w:w="3393" w:type="pct"/>
            <w:vAlign w:val="center"/>
          </w:tcPr>
          <w:p>
            <w:pPr>
              <w:spacing w:before="97" w:line="480" w:lineRule="exact"/>
              <w:rPr>
                <w:rFonts w:ascii="宋体" w:hAnsi="宋体" w:cs="宋体"/>
                <w:sz w:val="24"/>
              </w:rPr>
            </w:pPr>
            <w:r>
              <w:rPr>
                <w:rFonts w:hint="eastAsia" w:ascii="宋体" w:hAnsi="宋体" w:cs="宋体"/>
                <w:sz w:val="24"/>
              </w:rPr>
              <w:t>供应商派遣驻场人员应是供应商单位在职员工，且正常缴纳社保，并具备1年以上医院驻场服务工作经验，至少一人具备3年以上医院驻场服务工作经验。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14" w:type="pct"/>
            <w:vMerge w:val="continue"/>
            <w:vAlign w:val="center"/>
          </w:tcPr>
          <w:p>
            <w:pPr>
              <w:spacing w:before="97" w:line="480" w:lineRule="exact"/>
              <w:jc w:val="center"/>
              <w:rPr>
                <w:rFonts w:ascii="宋体" w:hAnsi="宋体" w:cs="宋体"/>
                <w:sz w:val="24"/>
              </w:rPr>
            </w:pPr>
          </w:p>
        </w:tc>
        <w:tc>
          <w:tcPr>
            <w:tcW w:w="433" w:type="pct"/>
            <w:vMerge w:val="continue"/>
            <w:vAlign w:val="center"/>
          </w:tcPr>
          <w:p>
            <w:pPr>
              <w:spacing w:before="97" w:line="480" w:lineRule="exact"/>
              <w:jc w:val="center"/>
              <w:rPr>
                <w:rFonts w:ascii="宋体" w:hAnsi="宋体" w:cs="宋体"/>
                <w:sz w:val="24"/>
              </w:rPr>
            </w:pPr>
          </w:p>
        </w:tc>
        <w:tc>
          <w:tcPr>
            <w:tcW w:w="758" w:type="pct"/>
            <w:vMerge w:val="continue"/>
            <w:vAlign w:val="center"/>
          </w:tcPr>
          <w:p>
            <w:pPr>
              <w:spacing w:before="97" w:line="480" w:lineRule="exact"/>
              <w:jc w:val="center"/>
              <w:rPr>
                <w:rFonts w:ascii="宋体" w:hAnsi="宋体" w:cs="宋体"/>
                <w:sz w:val="24"/>
              </w:rPr>
            </w:pPr>
          </w:p>
        </w:tc>
        <w:tc>
          <w:tcPr>
            <w:tcW w:w="3393" w:type="pct"/>
            <w:vAlign w:val="center"/>
          </w:tcPr>
          <w:p>
            <w:pPr>
              <w:spacing w:before="97" w:line="480" w:lineRule="exact"/>
              <w:rPr>
                <w:rFonts w:ascii="宋体" w:hAnsi="宋体" w:cs="宋体"/>
                <w:sz w:val="24"/>
              </w:rPr>
            </w:pPr>
            <w:r>
              <w:rPr>
                <w:rFonts w:hint="eastAsia" w:ascii="宋体" w:hAnsi="宋体" w:cs="宋体"/>
                <w:sz w:val="24"/>
              </w:rPr>
              <w:t>供应商派遣驻场人员上班期间必须穿戴可识别身份的工作服，佩戴工作牌，服从医院相关部门管理。遵守医院规章制度。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14" w:type="pct"/>
            <w:vMerge w:val="continue"/>
            <w:vAlign w:val="center"/>
          </w:tcPr>
          <w:p>
            <w:pPr>
              <w:spacing w:before="97" w:line="480" w:lineRule="exact"/>
              <w:jc w:val="center"/>
              <w:rPr>
                <w:rFonts w:ascii="宋体" w:hAnsi="宋体" w:cs="宋体"/>
                <w:sz w:val="24"/>
              </w:rPr>
            </w:pPr>
          </w:p>
        </w:tc>
        <w:tc>
          <w:tcPr>
            <w:tcW w:w="433" w:type="pct"/>
            <w:vMerge w:val="continue"/>
            <w:vAlign w:val="center"/>
          </w:tcPr>
          <w:p>
            <w:pPr>
              <w:spacing w:before="97" w:line="480" w:lineRule="exact"/>
              <w:jc w:val="center"/>
              <w:rPr>
                <w:rFonts w:ascii="宋体" w:hAnsi="宋体" w:cs="宋体"/>
                <w:sz w:val="24"/>
              </w:rPr>
            </w:pPr>
          </w:p>
        </w:tc>
        <w:tc>
          <w:tcPr>
            <w:tcW w:w="758" w:type="pct"/>
            <w:vMerge w:val="continue"/>
            <w:vAlign w:val="center"/>
          </w:tcPr>
          <w:p>
            <w:pPr>
              <w:spacing w:before="97" w:line="480" w:lineRule="exact"/>
              <w:jc w:val="center"/>
              <w:rPr>
                <w:rFonts w:ascii="宋体" w:hAnsi="宋体" w:cs="宋体"/>
                <w:sz w:val="24"/>
              </w:rPr>
            </w:pPr>
          </w:p>
        </w:tc>
        <w:tc>
          <w:tcPr>
            <w:tcW w:w="3393" w:type="pct"/>
            <w:vAlign w:val="center"/>
          </w:tcPr>
          <w:p>
            <w:pPr>
              <w:spacing w:before="97" w:line="480" w:lineRule="exact"/>
              <w:rPr>
                <w:rFonts w:ascii="宋体" w:hAnsi="宋体" w:cs="宋体"/>
                <w:sz w:val="24"/>
              </w:rPr>
            </w:pPr>
            <w:r>
              <w:rPr>
                <w:rFonts w:hint="eastAsia" w:ascii="宋体" w:hAnsi="宋体" w:cs="宋体"/>
                <w:sz w:val="24"/>
              </w:rPr>
              <w:t>由于医疗行业的特殊性，遇有法定节假日或重大活动，供应商主动提前提供值班工程师名单及联系电话，做到医院呼叫即时响应并及时到达医院现场，给予现场技术支持与协助。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14" w:type="pct"/>
            <w:vMerge w:val="continue"/>
            <w:vAlign w:val="center"/>
          </w:tcPr>
          <w:p>
            <w:pPr>
              <w:spacing w:before="97" w:line="480" w:lineRule="exact"/>
              <w:jc w:val="center"/>
              <w:rPr>
                <w:rFonts w:ascii="宋体" w:hAnsi="宋体" w:cs="宋体"/>
                <w:sz w:val="24"/>
              </w:rPr>
            </w:pPr>
          </w:p>
        </w:tc>
        <w:tc>
          <w:tcPr>
            <w:tcW w:w="433" w:type="pct"/>
            <w:vMerge w:val="continue"/>
            <w:vAlign w:val="center"/>
          </w:tcPr>
          <w:p>
            <w:pPr>
              <w:spacing w:before="97" w:line="480" w:lineRule="exact"/>
              <w:jc w:val="center"/>
              <w:rPr>
                <w:rFonts w:ascii="宋体" w:hAnsi="宋体" w:cs="宋体"/>
                <w:sz w:val="24"/>
              </w:rPr>
            </w:pPr>
          </w:p>
        </w:tc>
        <w:tc>
          <w:tcPr>
            <w:tcW w:w="758" w:type="pct"/>
            <w:vMerge w:val="continue"/>
            <w:vAlign w:val="center"/>
          </w:tcPr>
          <w:p>
            <w:pPr>
              <w:spacing w:before="97" w:line="480" w:lineRule="exact"/>
              <w:jc w:val="center"/>
              <w:rPr>
                <w:rFonts w:ascii="宋体" w:hAnsi="宋体" w:cs="宋体"/>
                <w:sz w:val="24"/>
              </w:rPr>
            </w:pPr>
          </w:p>
        </w:tc>
        <w:tc>
          <w:tcPr>
            <w:tcW w:w="3393" w:type="pct"/>
            <w:vAlign w:val="center"/>
          </w:tcPr>
          <w:p>
            <w:pPr>
              <w:spacing w:before="97" w:line="480" w:lineRule="exact"/>
              <w:rPr>
                <w:rFonts w:ascii="宋体" w:hAnsi="宋体" w:cs="宋体"/>
                <w:sz w:val="24"/>
              </w:rPr>
            </w:pPr>
            <w:r>
              <w:rPr>
                <w:rFonts w:hint="eastAsia" w:ascii="宋体" w:hAnsi="宋体" w:cs="宋体"/>
                <w:sz w:val="24"/>
              </w:rPr>
              <w:t>因医院临床业务为每天二十四小时运作，打印复印设备的稳定性和可用性十分重要。供应商严格要求常驻人员始终保持主动积极的工作态度，对故障的解决不拖延、不回避、不推诿。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 w:hRule="atLeast"/>
        </w:trPr>
        <w:tc>
          <w:tcPr>
            <w:tcW w:w="414" w:type="pct"/>
            <w:vMerge w:val="restart"/>
            <w:vAlign w:val="center"/>
          </w:tcPr>
          <w:p>
            <w:pPr>
              <w:spacing w:before="97" w:line="480" w:lineRule="exact"/>
              <w:jc w:val="center"/>
              <w:rPr>
                <w:rFonts w:ascii="宋体" w:hAnsi="宋体" w:cs="宋体"/>
                <w:sz w:val="24"/>
              </w:rPr>
            </w:pPr>
            <w:r>
              <w:rPr>
                <w:rFonts w:hint="eastAsia" w:ascii="宋体" w:hAnsi="宋体" w:cs="宋体"/>
                <w:sz w:val="24"/>
              </w:rPr>
              <w:t>5</w:t>
            </w:r>
          </w:p>
        </w:tc>
        <w:tc>
          <w:tcPr>
            <w:tcW w:w="433" w:type="pct"/>
            <w:vMerge w:val="restart"/>
            <w:vAlign w:val="center"/>
          </w:tcPr>
          <w:p>
            <w:pPr>
              <w:spacing w:before="97" w:line="480" w:lineRule="exact"/>
              <w:jc w:val="center"/>
              <w:rPr>
                <w:rFonts w:ascii="宋体" w:hAnsi="宋体" w:cs="宋体"/>
                <w:sz w:val="24"/>
              </w:rPr>
            </w:pPr>
            <w:r>
              <w:rPr>
                <w:rFonts w:hint="eastAsia" w:ascii="宋体" w:hAnsi="宋体" w:cs="宋体"/>
                <w:sz w:val="24"/>
              </w:rPr>
              <w:t>运维管理</w:t>
            </w:r>
          </w:p>
        </w:tc>
        <w:tc>
          <w:tcPr>
            <w:tcW w:w="758" w:type="pct"/>
            <w:vAlign w:val="center"/>
          </w:tcPr>
          <w:p>
            <w:pPr>
              <w:spacing w:before="97" w:line="480" w:lineRule="exact"/>
              <w:jc w:val="center"/>
              <w:rPr>
                <w:rFonts w:ascii="宋体" w:hAnsi="宋体" w:cs="宋体"/>
                <w:sz w:val="24"/>
              </w:rPr>
            </w:pPr>
            <w:r>
              <w:rPr>
                <w:rFonts w:hint="eastAsia" w:ascii="宋体" w:hAnsi="宋体" w:cs="宋体"/>
                <w:sz w:val="24"/>
              </w:rPr>
              <w:t>巡检服务</w:t>
            </w:r>
          </w:p>
        </w:tc>
        <w:tc>
          <w:tcPr>
            <w:tcW w:w="3393" w:type="pct"/>
            <w:vAlign w:val="center"/>
          </w:tcPr>
          <w:p>
            <w:pPr>
              <w:spacing w:before="97" w:line="480" w:lineRule="exact"/>
              <w:rPr>
                <w:rFonts w:ascii="宋体" w:hAnsi="宋体" w:cs="宋体"/>
                <w:sz w:val="24"/>
              </w:rPr>
            </w:pPr>
            <w:r>
              <w:rPr>
                <w:rFonts w:hint="eastAsia" w:ascii="宋体" w:hAnsi="宋体" w:cs="宋体"/>
                <w:sz w:val="24"/>
              </w:rPr>
              <w:t>对放置在各科室的文印及信息类设备每周进行一次巡检，及时发现用户单位打印系统、打印及计算机设备存在的隐患与漏洞，向用户单位提出书面报告，并与用户单位共同解决存在的问题与隐患。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14" w:type="pct"/>
            <w:vMerge w:val="continue"/>
            <w:vAlign w:val="center"/>
          </w:tcPr>
          <w:p>
            <w:pPr>
              <w:spacing w:before="97" w:line="480" w:lineRule="exact"/>
              <w:jc w:val="center"/>
              <w:rPr>
                <w:rFonts w:ascii="宋体" w:hAnsi="宋体" w:cs="宋体"/>
                <w:sz w:val="24"/>
              </w:rPr>
            </w:pPr>
          </w:p>
        </w:tc>
        <w:tc>
          <w:tcPr>
            <w:tcW w:w="433" w:type="pct"/>
            <w:vMerge w:val="continue"/>
            <w:vAlign w:val="center"/>
          </w:tcPr>
          <w:p>
            <w:pPr>
              <w:spacing w:before="97" w:line="480" w:lineRule="exact"/>
              <w:jc w:val="center"/>
              <w:rPr>
                <w:rFonts w:ascii="宋体" w:hAnsi="宋体" w:cs="宋体"/>
                <w:sz w:val="24"/>
              </w:rPr>
            </w:pPr>
          </w:p>
        </w:tc>
        <w:tc>
          <w:tcPr>
            <w:tcW w:w="758" w:type="pct"/>
            <w:vAlign w:val="center"/>
          </w:tcPr>
          <w:p>
            <w:pPr>
              <w:spacing w:before="97" w:line="480" w:lineRule="exact"/>
              <w:jc w:val="center"/>
              <w:rPr>
                <w:rFonts w:ascii="宋体" w:hAnsi="宋体" w:cs="宋体"/>
                <w:sz w:val="24"/>
              </w:rPr>
            </w:pPr>
            <w:r>
              <w:rPr>
                <w:rFonts w:hint="eastAsia" w:ascii="宋体" w:hAnsi="宋体" w:cs="宋体"/>
                <w:kern w:val="0"/>
                <w:sz w:val="24"/>
              </w:rPr>
              <w:t>★</w:t>
            </w:r>
            <w:r>
              <w:rPr>
                <w:rFonts w:hint="eastAsia" w:ascii="宋体" w:hAnsi="宋体" w:cs="宋体"/>
                <w:sz w:val="24"/>
              </w:rPr>
              <w:t>定期巡检</w:t>
            </w:r>
          </w:p>
        </w:tc>
        <w:tc>
          <w:tcPr>
            <w:tcW w:w="3393" w:type="pct"/>
            <w:vAlign w:val="center"/>
          </w:tcPr>
          <w:p>
            <w:pPr>
              <w:spacing w:before="97" w:line="480" w:lineRule="exact"/>
              <w:rPr>
                <w:rFonts w:ascii="宋体" w:hAnsi="宋体" w:cs="宋体"/>
                <w:sz w:val="24"/>
              </w:rPr>
            </w:pPr>
            <w:r>
              <w:rPr>
                <w:rFonts w:hint="eastAsia" w:ascii="宋体" w:hAnsi="宋体" w:cs="宋体"/>
                <w:sz w:val="24"/>
              </w:rPr>
              <w:t>每季度一次现场常规检修，每半年进行一次全面维护，运维管理系统需具备到期自动提醒和设备盘点记录功能；对打印系统、打印及计算机设备进行预防性维护，排除系统的隐患，解决系统出现的故障。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14" w:type="pct"/>
            <w:vMerge w:val="continue"/>
            <w:vAlign w:val="center"/>
          </w:tcPr>
          <w:p>
            <w:pPr>
              <w:spacing w:before="97" w:line="480" w:lineRule="exact"/>
              <w:jc w:val="center"/>
              <w:rPr>
                <w:rFonts w:ascii="宋体" w:hAnsi="宋体" w:cs="宋体"/>
                <w:sz w:val="24"/>
              </w:rPr>
            </w:pPr>
          </w:p>
        </w:tc>
        <w:tc>
          <w:tcPr>
            <w:tcW w:w="433" w:type="pct"/>
            <w:vMerge w:val="continue"/>
            <w:vAlign w:val="center"/>
          </w:tcPr>
          <w:p>
            <w:pPr>
              <w:spacing w:before="97" w:line="480" w:lineRule="exact"/>
              <w:jc w:val="center"/>
              <w:rPr>
                <w:rFonts w:ascii="宋体" w:hAnsi="宋体" w:cs="宋体"/>
                <w:sz w:val="24"/>
              </w:rPr>
            </w:pPr>
          </w:p>
        </w:tc>
        <w:tc>
          <w:tcPr>
            <w:tcW w:w="758" w:type="pct"/>
            <w:vAlign w:val="center"/>
          </w:tcPr>
          <w:p>
            <w:pPr>
              <w:spacing w:before="97" w:line="480" w:lineRule="exact"/>
              <w:jc w:val="center"/>
              <w:rPr>
                <w:rFonts w:ascii="宋体" w:hAnsi="宋体" w:cs="宋体"/>
                <w:sz w:val="24"/>
              </w:rPr>
            </w:pPr>
            <w:r>
              <w:rPr>
                <w:rFonts w:hint="eastAsia" w:ascii="宋体" w:hAnsi="宋体" w:cs="宋体"/>
                <w:sz w:val="24"/>
              </w:rPr>
              <w:t>巡检报告</w:t>
            </w:r>
          </w:p>
        </w:tc>
        <w:tc>
          <w:tcPr>
            <w:tcW w:w="3393" w:type="pct"/>
            <w:vAlign w:val="center"/>
          </w:tcPr>
          <w:p>
            <w:pPr>
              <w:spacing w:before="97" w:line="480" w:lineRule="exact"/>
              <w:rPr>
                <w:rFonts w:ascii="宋体" w:hAnsi="宋体" w:cs="宋体"/>
                <w:sz w:val="24"/>
              </w:rPr>
            </w:pPr>
            <w:r>
              <w:rPr>
                <w:rFonts w:hint="eastAsia" w:ascii="宋体" w:hAnsi="宋体" w:cs="宋体"/>
                <w:sz w:val="24"/>
              </w:rPr>
              <w:t>每次巡检应提供巡检报告，并根据巡检报告，及时与用户进行交流，及时协调解决维护工作中的问题。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14" w:type="pct"/>
            <w:vMerge w:val="continue"/>
            <w:vAlign w:val="center"/>
          </w:tcPr>
          <w:p>
            <w:pPr>
              <w:spacing w:before="97" w:line="480" w:lineRule="exact"/>
              <w:jc w:val="center"/>
              <w:rPr>
                <w:rFonts w:ascii="宋体" w:hAnsi="宋体" w:cs="宋体"/>
                <w:sz w:val="24"/>
              </w:rPr>
            </w:pPr>
          </w:p>
        </w:tc>
        <w:tc>
          <w:tcPr>
            <w:tcW w:w="433" w:type="pct"/>
            <w:vMerge w:val="continue"/>
            <w:vAlign w:val="center"/>
          </w:tcPr>
          <w:p>
            <w:pPr>
              <w:spacing w:before="97" w:line="480" w:lineRule="exact"/>
              <w:jc w:val="center"/>
              <w:rPr>
                <w:rFonts w:ascii="宋体" w:hAnsi="宋体" w:cs="宋体"/>
                <w:sz w:val="24"/>
              </w:rPr>
            </w:pPr>
          </w:p>
        </w:tc>
        <w:tc>
          <w:tcPr>
            <w:tcW w:w="758" w:type="pct"/>
            <w:vAlign w:val="center"/>
          </w:tcPr>
          <w:p>
            <w:pPr>
              <w:spacing w:before="97" w:line="480" w:lineRule="exact"/>
              <w:jc w:val="center"/>
              <w:rPr>
                <w:rFonts w:ascii="宋体" w:hAnsi="宋体" w:cs="宋体"/>
                <w:sz w:val="24"/>
              </w:rPr>
            </w:pPr>
            <w:r>
              <w:rPr>
                <w:rFonts w:hint="eastAsia" w:ascii="宋体" w:hAnsi="宋体" w:cs="宋体"/>
                <w:sz w:val="24"/>
              </w:rPr>
              <w:t>配件更换</w:t>
            </w:r>
          </w:p>
        </w:tc>
        <w:tc>
          <w:tcPr>
            <w:tcW w:w="3393" w:type="pct"/>
            <w:vAlign w:val="center"/>
          </w:tcPr>
          <w:p>
            <w:pPr>
              <w:spacing w:before="97" w:line="480" w:lineRule="exact"/>
              <w:rPr>
                <w:rFonts w:ascii="宋体" w:hAnsi="宋体" w:cs="宋体"/>
                <w:sz w:val="24"/>
              </w:rPr>
            </w:pPr>
            <w:r>
              <w:rPr>
                <w:rFonts w:hint="eastAsia" w:ascii="宋体" w:hAnsi="宋体" w:cs="宋体"/>
                <w:sz w:val="24"/>
              </w:rPr>
              <w:t>供应商承诺在维保期内，如打印设备硬件故障，及时更换，不单独收取任何其他的相关费用，如劳务、交通费等。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14" w:type="pct"/>
            <w:vMerge w:val="restart"/>
            <w:vAlign w:val="center"/>
          </w:tcPr>
          <w:p>
            <w:pPr>
              <w:spacing w:before="97" w:line="480" w:lineRule="exact"/>
              <w:jc w:val="center"/>
              <w:rPr>
                <w:rFonts w:ascii="宋体" w:hAnsi="宋体" w:cs="宋体"/>
                <w:sz w:val="24"/>
              </w:rPr>
            </w:pPr>
            <w:r>
              <w:rPr>
                <w:rFonts w:hint="eastAsia" w:ascii="宋体" w:hAnsi="宋体" w:cs="宋体"/>
                <w:sz w:val="24"/>
              </w:rPr>
              <w:t>5</w:t>
            </w:r>
          </w:p>
        </w:tc>
        <w:tc>
          <w:tcPr>
            <w:tcW w:w="433" w:type="pct"/>
            <w:vMerge w:val="restart"/>
            <w:vAlign w:val="center"/>
          </w:tcPr>
          <w:p>
            <w:pPr>
              <w:spacing w:before="97" w:line="480" w:lineRule="exact"/>
              <w:jc w:val="center"/>
              <w:rPr>
                <w:rFonts w:ascii="宋体" w:hAnsi="宋体" w:cs="宋体"/>
                <w:sz w:val="24"/>
              </w:rPr>
            </w:pPr>
            <w:r>
              <w:rPr>
                <w:rFonts w:hint="eastAsia" w:ascii="宋体" w:hAnsi="宋体" w:cs="宋体"/>
                <w:sz w:val="24"/>
              </w:rPr>
              <w:t>考核管理</w:t>
            </w:r>
          </w:p>
        </w:tc>
        <w:tc>
          <w:tcPr>
            <w:tcW w:w="758" w:type="pct"/>
            <w:vAlign w:val="center"/>
          </w:tcPr>
          <w:p>
            <w:pPr>
              <w:spacing w:before="97" w:line="480" w:lineRule="exact"/>
              <w:jc w:val="center"/>
              <w:rPr>
                <w:rFonts w:ascii="宋体" w:hAnsi="宋体" w:cs="宋体"/>
                <w:sz w:val="24"/>
              </w:rPr>
            </w:pPr>
            <w:r>
              <w:rPr>
                <w:rFonts w:hint="eastAsia" w:ascii="宋体" w:hAnsi="宋体" w:cs="宋体"/>
                <w:kern w:val="0"/>
                <w:sz w:val="24"/>
              </w:rPr>
              <w:t>★</w:t>
            </w:r>
            <w:r>
              <w:rPr>
                <w:rFonts w:hint="eastAsia" w:ascii="宋体" w:hAnsi="宋体" w:cs="宋体"/>
                <w:sz w:val="24"/>
              </w:rPr>
              <w:t>考核测评</w:t>
            </w:r>
          </w:p>
        </w:tc>
        <w:tc>
          <w:tcPr>
            <w:tcW w:w="3393" w:type="pct"/>
            <w:vAlign w:val="center"/>
          </w:tcPr>
          <w:p>
            <w:pPr>
              <w:spacing w:before="97" w:line="480" w:lineRule="exact"/>
              <w:rPr>
                <w:rFonts w:ascii="宋体" w:hAnsi="宋体" w:cs="宋体"/>
                <w:sz w:val="24"/>
              </w:rPr>
            </w:pPr>
            <w:r>
              <w:rPr>
                <w:rFonts w:hint="eastAsia" w:ascii="宋体" w:hAnsi="宋体" w:cs="宋体"/>
                <w:sz w:val="24"/>
              </w:rPr>
              <w:t>医院将对供应商工作人员的工作质量、服务态度及工作效率进行考核与测评，各科室若发现供应商的工作人员服务不到位，维修现场不整洁等行为，及时反馈信息中心。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14" w:type="pct"/>
            <w:vMerge w:val="continue"/>
            <w:vAlign w:val="center"/>
          </w:tcPr>
          <w:p>
            <w:pPr>
              <w:spacing w:before="97" w:line="480" w:lineRule="exact"/>
              <w:jc w:val="center"/>
              <w:rPr>
                <w:rFonts w:ascii="宋体" w:hAnsi="宋体" w:cs="宋体"/>
                <w:sz w:val="24"/>
              </w:rPr>
            </w:pPr>
          </w:p>
        </w:tc>
        <w:tc>
          <w:tcPr>
            <w:tcW w:w="433" w:type="pct"/>
            <w:vMerge w:val="continue"/>
            <w:vAlign w:val="center"/>
          </w:tcPr>
          <w:p>
            <w:pPr>
              <w:spacing w:before="97" w:line="480" w:lineRule="exact"/>
              <w:jc w:val="center"/>
              <w:rPr>
                <w:rFonts w:ascii="宋体" w:hAnsi="宋体" w:cs="宋体"/>
                <w:sz w:val="24"/>
              </w:rPr>
            </w:pPr>
          </w:p>
        </w:tc>
        <w:tc>
          <w:tcPr>
            <w:tcW w:w="758" w:type="pct"/>
            <w:vAlign w:val="center"/>
          </w:tcPr>
          <w:p>
            <w:pPr>
              <w:spacing w:before="97" w:line="480" w:lineRule="exact"/>
              <w:jc w:val="center"/>
              <w:rPr>
                <w:rFonts w:ascii="宋体" w:hAnsi="宋体" w:cs="宋体"/>
                <w:sz w:val="24"/>
              </w:rPr>
            </w:pPr>
            <w:r>
              <w:rPr>
                <w:rFonts w:hint="eastAsia" w:ascii="宋体" w:hAnsi="宋体" w:cs="宋体"/>
                <w:sz w:val="24"/>
              </w:rPr>
              <w:t>考核惩罚</w:t>
            </w:r>
          </w:p>
        </w:tc>
        <w:tc>
          <w:tcPr>
            <w:tcW w:w="3393" w:type="pct"/>
            <w:vAlign w:val="center"/>
          </w:tcPr>
          <w:p>
            <w:pPr>
              <w:spacing w:before="97" w:line="480" w:lineRule="exact"/>
              <w:rPr>
                <w:rFonts w:ascii="宋体" w:hAnsi="宋体" w:cs="宋体"/>
                <w:sz w:val="24"/>
              </w:rPr>
            </w:pPr>
            <w:r>
              <w:rPr>
                <w:rFonts w:hint="eastAsia" w:ascii="宋体" w:hAnsi="宋体" w:cs="宋体"/>
                <w:sz w:val="24"/>
              </w:rPr>
              <w:t>采购人每季度对供应商进行考核，供应商考核低于80分的，视为服务不合同，医院有权要求供应商服务质量做期限整改，如期限整改后还未达到招标要求的，医院有权提前终止合同。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14" w:type="pct"/>
            <w:vMerge w:val="continue"/>
            <w:vAlign w:val="center"/>
          </w:tcPr>
          <w:p>
            <w:pPr>
              <w:spacing w:before="97" w:line="480" w:lineRule="exact"/>
              <w:jc w:val="center"/>
              <w:rPr>
                <w:rFonts w:ascii="宋体" w:hAnsi="宋体" w:cs="宋体"/>
                <w:sz w:val="24"/>
              </w:rPr>
            </w:pPr>
          </w:p>
        </w:tc>
        <w:tc>
          <w:tcPr>
            <w:tcW w:w="433" w:type="pct"/>
            <w:vMerge w:val="continue"/>
            <w:vAlign w:val="center"/>
          </w:tcPr>
          <w:p>
            <w:pPr>
              <w:spacing w:before="97" w:line="480" w:lineRule="exact"/>
              <w:jc w:val="center"/>
              <w:rPr>
                <w:rFonts w:ascii="宋体" w:hAnsi="宋体" w:cs="宋体"/>
                <w:sz w:val="24"/>
              </w:rPr>
            </w:pPr>
          </w:p>
        </w:tc>
        <w:tc>
          <w:tcPr>
            <w:tcW w:w="758" w:type="pct"/>
            <w:vAlign w:val="center"/>
          </w:tcPr>
          <w:p>
            <w:pPr>
              <w:spacing w:before="97" w:line="480" w:lineRule="exact"/>
              <w:jc w:val="center"/>
              <w:rPr>
                <w:rFonts w:ascii="宋体" w:hAnsi="宋体" w:cs="宋体"/>
                <w:sz w:val="24"/>
              </w:rPr>
            </w:pPr>
            <w:r>
              <w:rPr>
                <w:rFonts w:hint="eastAsia" w:ascii="宋体" w:hAnsi="宋体" w:cs="宋体"/>
                <w:kern w:val="0"/>
                <w:sz w:val="24"/>
              </w:rPr>
              <w:t>★</w:t>
            </w:r>
            <w:r>
              <w:rPr>
                <w:rFonts w:hint="eastAsia" w:ascii="宋体" w:hAnsi="宋体" w:cs="宋体"/>
                <w:sz w:val="24"/>
              </w:rPr>
              <w:t>服务月报</w:t>
            </w:r>
          </w:p>
        </w:tc>
        <w:tc>
          <w:tcPr>
            <w:tcW w:w="3393" w:type="pct"/>
            <w:vAlign w:val="center"/>
          </w:tcPr>
          <w:p>
            <w:pPr>
              <w:spacing w:before="97" w:line="480" w:lineRule="exact"/>
              <w:rPr>
                <w:rFonts w:ascii="宋体" w:hAnsi="宋体" w:cs="宋体"/>
                <w:sz w:val="24"/>
              </w:rPr>
            </w:pPr>
            <w:r>
              <w:rPr>
                <w:rFonts w:hint="eastAsia" w:ascii="宋体" w:hAnsi="宋体" w:cs="宋体"/>
                <w:sz w:val="24"/>
              </w:rPr>
              <w:t>每月上旬提供服务月报，内容包含上一个月设备、耗材、维修等运营状况；数据要求通过管理平台自动统计导出，不接受手工填报，同时依据医院财务科室要求提供符合成本核算科室结构的成本分摊报表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14" w:type="pct"/>
            <w:vMerge w:val="continue"/>
            <w:vAlign w:val="center"/>
          </w:tcPr>
          <w:p>
            <w:pPr>
              <w:spacing w:before="97" w:line="480" w:lineRule="exact"/>
              <w:jc w:val="center"/>
              <w:rPr>
                <w:rFonts w:ascii="宋体" w:hAnsi="宋体" w:cs="宋体"/>
                <w:sz w:val="24"/>
              </w:rPr>
            </w:pPr>
          </w:p>
        </w:tc>
        <w:tc>
          <w:tcPr>
            <w:tcW w:w="433" w:type="pct"/>
            <w:vMerge w:val="continue"/>
            <w:vAlign w:val="center"/>
          </w:tcPr>
          <w:p>
            <w:pPr>
              <w:spacing w:before="97" w:line="480" w:lineRule="exact"/>
              <w:jc w:val="center"/>
              <w:rPr>
                <w:rFonts w:ascii="宋体" w:hAnsi="宋体" w:cs="宋体"/>
                <w:sz w:val="24"/>
              </w:rPr>
            </w:pPr>
          </w:p>
        </w:tc>
        <w:tc>
          <w:tcPr>
            <w:tcW w:w="758" w:type="pct"/>
            <w:vAlign w:val="center"/>
          </w:tcPr>
          <w:p>
            <w:pPr>
              <w:spacing w:before="97" w:line="480" w:lineRule="exact"/>
              <w:jc w:val="center"/>
              <w:rPr>
                <w:rFonts w:ascii="宋体" w:hAnsi="宋体" w:cs="宋体"/>
                <w:sz w:val="24"/>
              </w:rPr>
            </w:pPr>
            <w:r>
              <w:rPr>
                <w:rFonts w:hint="eastAsia" w:ascii="宋体" w:hAnsi="宋体" w:cs="宋体"/>
                <w:sz w:val="24"/>
              </w:rPr>
              <w:t>用户满意度</w:t>
            </w:r>
          </w:p>
        </w:tc>
        <w:tc>
          <w:tcPr>
            <w:tcW w:w="3393" w:type="pct"/>
            <w:vAlign w:val="center"/>
          </w:tcPr>
          <w:p>
            <w:pPr>
              <w:spacing w:before="97" w:line="480" w:lineRule="exact"/>
              <w:rPr>
                <w:rFonts w:ascii="宋体" w:hAnsi="宋体" w:cs="宋体"/>
                <w:sz w:val="24"/>
              </w:rPr>
            </w:pPr>
            <w:r>
              <w:rPr>
                <w:rFonts w:hint="eastAsia" w:ascii="宋体" w:hAnsi="宋体" w:cs="宋体"/>
                <w:sz w:val="24"/>
              </w:rPr>
              <w:t>医院每季度对供应商进行一次文印管理外包服务考核，季度考核低于80分的，视为服务不合格，医院有权要求对供应商服务质量做限期整改，如限期整改后还未达到采购人要求的，医院有权提前终止合同。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14" w:type="pct"/>
            <w:vMerge w:val="restart"/>
            <w:vAlign w:val="center"/>
          </w:tcPr>
          <w:p>
            <w:pPr>
              <w:spacing w:before="97" w:line="480" w:lineRule="exact"/>
              <w:jc w:val="center"/>
              <w:rPr>
                <w:rFonts w:ascii="宋体" w:hAnsi="宋体" w:cs="宋体"/>
                <w:sz w:val="24"/>
              </w:rPr>
            </w:pPr>
            <w:r>
              <w:rPr>
                <w:rFonts w:hint="eastAsia" w:ascii="宋体" w:hAnsi="宋体" w:cs="宋体"/>
                <w:sz w:val="24"/>
              </w:rPr>
              <w:t>6</w:t>
            </w:r>
          </w:p>
        </w:tc>
        <w:tc>
          <w:tcPr>
            <w:tcW w:w="433" w:type="pct"/>
            <w:vMerge w:val="restart"/>
            <w:vAlign w:val="center"/>
          </w:tcPr>
          <w:p>
            <w:pPr>
              <w:spacing w:before="97" w:line="480" w:lineRule="exact"/>
              <w:jc w:val="center"/>
              <w:rPr>
                <w:rFonts w:ascii="宋体" w:hAnsi="宋体" w:cs="宋体"/>
                <w:sz w:val="24"/>
              </w:rPr>
            </w:pPr>
            <w:r>
              <w:rPr>
                <w:rFonts w:hint="eastAsia" w:ascii="宋体" w:hAnsi="宋体" w:cs="宋体"/>
                <w:sz w:val="24"/>
              </w:rPr>
              <w:t>应急措施</w:t>
            </w:r>
          </w:p>
        </w:tc>
        <w:tc>
          <w:tcPr>
            <w:tcW w:w="758" w:type="pct"/>
            <w:vAlign w:val="center"/>
          </w:tcPr>
          <w:p>
            <w:pPr>
              <w:spacing w:before="97" w:line="480" w:lineRule="exact"/>
              <w:jc w:val="center"/>
              <w:rPr>
                <w:rFonts w:ascii="宋体" w:hAnsi="宋体" w:cs="宋体"/>
                <w:sz w:val="24"/>
              </w:rPr>
            </w:pPr>
            <w:r>
              <w:rPr>
                <w:rFonts w:hint="eastAsia" w:ascii="宋体" w:hAnsi="宋体" w:cs="宋体"/>
                <w:sz w:val="24"/>
              </w:rPr>
              <w:t>耗材库存</w:t>
            </w:r>
          </w:p>
        </w:tc>
        <w:tc>
          <w:tcPr>
            <w:tcW w:w="3393" w:type="pct"/>
            <w:vAlign w:val="center"/>
          </w:tcPr>
          <w:p>
            <w:pPr>
              <w:spacing w:before="97" w:line="480" w:lineRule="exact"/>
              <w:rPr>
                <w:rFonts w:ascii="宋体" w:hAnsi="宋体" w:cs="宋体"/>
                <w:sz w:val="24"/>
              </w:rPr>
            </w:pPr>
            <w:r>
              <w:rPr>
                <w:rFonts w:hint="eastAsia" w:ascii="宋体" w:hAnsi="宋体" w:cs="宋体"/>
                <w:sz w:val="24"/>
              </w:rPr>
              <w:t>供应商需根据医院上月度使用情况，提供备用机、备用零配件及备用耗材，并存放在医院。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14" w:type="pct"/>
            <w:vMerge w:val="continue"/>
            <w:vAlign w:val="center"/>
          </w:tcPr>
          <w:p>
            <w:pPr>
              <w:spacing w:before="97" w:line="480" w:lineRule="exact"/>
              <w:jc w:val="center"/>
              <w:rPr>
                <w:rFonts w:ascii="宋体" w:hAnsi="宋体" w:cs="宋体"/>
                <w:sz w:val="24"/>
              </w:rPr>
            </w:pPr>
          </w:p>
        </w:tc>
        <w:tc>
          <w:tcPr>
            <w:tcW w:w="433" w:type="pct"/>
            <w:vMerge w:val="continue"/>
            <w:vAlign w:val="center"/>
          </w:tcPr>
          <w:p>
            <w:pPr>
              <w:spacing w:before="97" w:line="480" w:lineRule="exact"/>
              <w:jc w:val="center"/>
              <w:rPr>
                <w:rFonts w:ascii="宋体" w:hAnsi="宋体" w:cs="宋体"/>
                <w:sz w:val="24"/>
              </w:rPr>
            </w:pPr>
          </w:p>
        </w:tc>
        <w:tc>
          <w:tcPr>
            <w:tcW w:w="758" w:type="pct"/>
            <w:vAlign w:val="center"/>
          </w:tcPr>
          <w:p>
            <w:pPr>
              <w:spacing w:before="97" w:line="480" w:lineRule="exact"/>
              <w:jc w:val="center"/>
              <w:rPr>
                <w:rFonts w:ascii="宋体" w:hAnsi="宋体" w:cs="宋体"/>
                <w:sz w:val="24"/>
              </w:rPr>
            </w:pPr>
            <w:r>
              <w:rPr>
                <w:rFonts w:hint="eastAsia" w:ascii="宋体" w:hAnsi="宋体" w:cs="宋体"/>
                <w:sz w:val="24"/>
              </w:rPr>
              <w:t>备用人员</w:t>
            </w:r>
          </w:p>
        </w:tc>
        <w:tc>
          <w:tcPr>
            <w:tcW w:w="3393" w:type="pct"/>
            <w:vAlign w:val="center"/>
          </w:tcPr>
          <w:p>
            <w:pPr>
              <w:spacing w:before="97" w:line="480" w:lineRule="exact"/>
              <w:rPr>
                <w:rFonts w:ascii="宋体" w:hAnsi="宋体" w:cs="宋体"/>
                <w:sz w:val="24"/>
              </w:rPr>
            </w:pPr>
            <w:r>
              <w:rPr>
                <w:rFonts w:hint="eastAsia" w:ascii="宋体" w:hAnsi="宋体" w:cs="宋体"/>
                <w:sz w:val="24"/>
              </w:rPr>
              <w:t>如碰到特殊情况需按我院要求加派人员提供服务，区域内工程师随时支援替补，建立替补人员名单；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14" w:type="pct"/>
            <w:vMerge w:val="continue"/>
            <w:vAlign w:val="center"/>
          </w:tcPr>
          <w:p>
            <w:pPr>
              <w:spacing w:before="97" w:line="480" w:lineRule="exact"/>
              <w:jc w:val="center"/>
              <w:rPr>
                <w:rFonts w:ascii="宋体" w:hAnsi="宋体" w:cs="宋体"/>
                <w:sz w:val="24"/>
              </w:rPr>
            </w:pPr>
          </w:p>
        </w:tc>
        <w:tc>
          <w:tcPr>
            <w:tcW w:w="433" w:type="pct"/>
            <w:vMerge w:val="continue"/>
            <w:vAlign w:val="center"/>
          </w:tcPr>
          <w:p>
            <w:pPr>
              <w:spacing w:before="97" w:line="480" w:lineRule="exact"/>
              <w:jc w:val="center"/>
              <w:rPr>
                <w:rFonts w:ascii="宋体" w:hAnsi="宋体" w:cs="宋体"/>
                <w:sz w:val="24"/>
              </w:rPr>
            </w:pPr>
          </w:p>
        </w:tc>
        <w:tc>
          <w:tcPr>
            <w:tcW w:w="758" w:type="pct"/>
            <w:vAlign w:val="center"/>
          </w:tcPr>
          <w:p>
            <w:pPr>
              <w:spacing w:before="97" w:line="480" w:lineRule="exact"/>
              <w:jc w:val="center"/>
              <w:rPr>
                <w:rFonts w:ascii="宋体" w:hAnsi="宋体" w:cs="宋体"/>
                <w:sz w:val="24"/>
              </w:rPr>
            </w:pPr>
            <w:r>
              <w:rPr>
                <w:rFonts w:hint="eastAsia" w:ascii="宋体" w:hAnsi="宋体" w:cs="宋体"/>
                <w:sz w:val="24"/>
              </w:rPr>
              <w:t>备用零配件</w:t>
            </w:r>
          </w:p>
        </w:tc>
        <w:tc>
          <w:tcPr>
            <w:tcW w:w="3393" w:type="pct"/>
            <w:vAlign w:val="center"/>
          </w:tcPr>
          <w:p>
            <w:pPr>
              <w:spacing w:before="97" w:line="480" w:lineRule="exact"/>
              <w:rPr>
                <w:rFonts w:ascii="宋体" w:hAnsi="宋体" w:cs="宋体"/>
                <w:sz w:val="24"/>
              </w:rPr>
            </w:pPr>
            <w:r>
              <w:rPr>
                <w:rFonts w:hint="eastAsia" w:ascii="宋体" w:hAnsi="宋体" w:cs="宋体"/>
                <w:sz w:val="24"/>
              </w:rPr>
              <w:t>种类齐全，且数量不少于上月使用量。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14" w:type="pct"/>
            <w:vMerge w:val="restart"/>
            <w:vAlign w:val="center"/>
          </w:tcPr>
          <w:p>
            <w:pPr>
              <w:spacing w:before="97" w:line="480" w:lineRule="exact"/>
              <w:jc w:val="center"/>
              <w:rPr>
                <w:rFonts w:ascii="宋体" w:hAnsi="宋体" w:cs="宋体"/>
                <w:sz w:val="24"/>
              </w:rPr>
            </w:pPr>
            <w:r>
              <w:rPr>
                <w:rFonts w:hint="eastAsia" w:ascii="宋体" w:hAnsi="宋体" w:cs="宋体"/>
                <w:sz w:val="24"/>
              </w:rPr>
              <w:t>7</w:t>
            </w:r>
          </w:p>
        </w:tc>
        <w:tc>
          <w:tcPr>
            <w:tcW w:w="433" w:type="pct"/>
            <w:vMerge w:val="restart"/>
            <w:vAlign w:val="center"/>
          </w:tcPr>
          <w:p>
            <w:pPr>
              <w:spacing w:before="97" w:line="480" w:lineRule="exact"/>
              <w:jc w:val="center"/>
              <w:rPr>
                <w:rFonts w:ascii="宋体" w:hAnsi="宋体" w:cs="宋体"/>
                <w:sz w:val="24"/>
              </w:rPr>
            </w:pPr>
            <w:r>
              <w:rPr>
                <w:rFonts w:hint="eastAsia" w:ascii="宋体" w:hAnsi="宋体" w:cs="宋体"/>
                <w:sz w:val="24"/>
              </w:rPr>
              <w:t>其他要求</w:t>
            </w:r>
          </w:p>
        </w:tc>
        <w:tc>
          <w:tcPr>
            <w:tcW w:w="758" w:type="pct"/>
            <w:vAlign w:val="center"/>
          </w:tcPr>
          <w:p>
            <w:pPr>
              <w:spacing w:before="97" w:line="480" w:lineRule="exact"/>
              <w:jc w:val="center"/>
              <w:rPr>
                <w:rFonts w:ascii="宋体" w:hAnsi="宋体" w:cs="宋体"/>
                <w:sz w:val="24"/>
              </w:rPr>
            </w:pPr>
            <w:r>
              <w:rPr>
                <w:rFonts w:hint="eastAsia" w:ascii="宋体" w:hAnsi="宋体" w:cs="宋体"/>
                <w:sz w:val="24"/>
              </w:rPr>
              <w:t>保密承诺</w:t>
            </w:r>
          </w:p>
        </w:tc>
        <w:tc>
          <w:tcPr>
            <w:tcW w:w="3393" w:type="pct"/>
            <w:vAlign w:val="center"/>
          </w:tcPr>
          <w:p>
            <w:pPr>
              <w:spacing w:before="97" w:line="480" w:lineRule="exact"/>
              <w:rPr>
                <w:rFonts w:ascii="宋体" w:hAnsi="宋体" w:cs="宋体"/>
                <w:sz w:val="24"/>
              </w:rPr>
            </w:pPr>
            <w:r>
              <w:rPr>
                <w:rFonts w:hint="eastAsia" w:ascii="宋体" w:hAnsi="宋体" w:cs="宋体"/>
                <w:sz w:val="24"/>
              </w:rPr>
              <w:t>供应商在提供服务和维修的过程中，获悉的一切资讯均需严格保密，不得自行使用或给他人使用，如有泄漏或擅自使用或允许他人使用造成损失的必须承担相应的民事赔偿责任；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14" w:type="pct"/>
            <w:vMerge w:val="continue"/>
            <w:vAlign w:val="center"/>
          </w:tcPr>
          <w:p>
            <w:pPr>
              <w:spacing w:before="97" w:line="480" w:lineRule="exact"/>
              <w:jc w:val="center"/>
              <w:rPr>
                <w:rFonts w:ascii="宋体" w:hAnsi="宋体" w:cs="宋体"/>
                <w:sz w:val="24"/>
              </w:rPr>
            </w:pPr>
          </w:p>
        </w:tc>
        <w:tc>
          <w:tcPr>
            <w:tcW w:w="433" w:type="pct"/>
            <w:vMerge w:val="continue"/>
            <w:vAlign w:val="center"/>
          </w:tcPr>
          <w:p>
            <w:pPr>
              <w:spacing w:before="97" w:line="480" w:lineRule="exact"/>
              <w:jc w:val="center"/>
              <w:rPr>
                <w:rFonts w:ascii="宋体" w:hAnsi="宋体" w:cs="宋体"/>
                <w:sz w:val="24"/>
              </w:rPr>
            </w:pPr>
          </w:p>
        </w:tc>
        <w:tc>
          <w:tcPr>
            <w:tcW w:w="758" w:type="pct"/>
            <w:vAlign w:val="center"/>
          </w:tcPr>
          <w:p>
            <w:pPr>
              <w:spacing w:before="97" w:line="480" w:lineRule="exact"/>
              <w:jc w:val="center"/>
              <w:rPr>
                <w:rFonts w:ascii="宋体" w:hAnsi="宋体" w:cs="宋体"/>
                <w:sz w:val="24"/>
              </w:rPr>
            </w:pPr>
            <w:r>
              <w:rPr>
                <w:rFonts w:hint="eastAsia" w:ascii="宋体" w:hAnsi="宋体" w:cs="宋体"/>
                <w:sz w:val="24"/>
              </w:rPr>
              <w:t>打印/复印质量</w:t>
            </w:r>
          </w:p>
        </w:tc>
        <w:tc>
          <w:tcPr>
            <w:tcW w:w="3393" w:type="pct"/>
            <w:vAlign w:val="center"/>
          </w:tcPr>
          <w:p>
            <w:pPr>
              <w:spacing w:before="97" w:line="480" w:lineRule="exact"/>
              <w:rPr>
                <w:rFonts w:ascii="宋体" w:hAnsi="宋体" w:cs="宋体"/>
                <w:sz w:val="24"/>
              </w:rPr>
            </w:pPr>
            <w:r>
              <w:rPr>
                <w:rFonts w:hint="eastAsia" w:ascii="宋体" w:hAnsi="宋体" w:cs="宋体"/>
                <w:sz w:val="24"/>
              </w:rPr>
              <w:t>黑白打印/复印输出结果应为实心黑线，清晰，并且至少达到无背景。打印整齐并校对正确，单张品质一致。彩色打印校色正确，能正常分辨，且满足各科室的打印需求无投诉。</w:t>
            </w:r>
          </w:p>
          <w:p>
            <w:pPr>
              <w:spacing w:before="97" w:line="480" w:lineRule="exact"/>
              <w:rPr>
                <w:rFonts w:ascii="宋体" w:hAnsi="宋体" w:cs="宋体"/>
                <w:sz w:val="24"/>
              </w:rPr>
            </w:pPr>
            <w:r>
              <w:rPr>
                <w:rFonts w:hint="eastAsia" w:ascii="宋体" w:hAnsi="宋体" w:cs="宋体"/>
                <w:sz w:val="24"/>
              </w:rPr>
              <w:t>卡纸率: 重点打印科室卡纸率1%，其他科室3%以内。</w:t>
            </w:r>
          </w:p>
        </w:tc>
      </w:tr>
    </w:tbl>
    <w:p>
      <w:pPr>
        <w:spacing w:before="97" w:line="480" w:lineRule="exact"/>
        <w:rPr>
          <w:rFonts w:ascii="宋体" w:hAnsi="宋体"/>
          <w:b/>
          <w:bCs/>
          <w:sz w:val="24"/>
        </w:rPr>
      </w:pPr>
    </w:p>
    <w:p>
      <w:pPr>
        <w:spacing w:before="97" w:line="480" w:lineRule="exact"/>
        <w:rPr>
          <w:rFonts w:ascii="宋体" w:hAnsi="宋体"/>
          <w:b/>
          <w:bCs/>
          <w:sz w:val="24"/>
        </w:rPr>
      </w:pPr>
      <w:r>
        <w:rPr>
          <w:rFonts w:hint="eastAsia" w:ascii="宋体" w:hAnsi="宋体"/>
          <w:b/>
          <w:bCs/>
          <w:sz w:val="24"/>
        </w:rPr>
        <w:t>三.商务要求</w:t>
      </w:r>
    </w:p>
    <w:p>
      <w:pPr>
        <w:widowControl/>
        <w:adjustRightInd w:val="0"/>
        <w:snapToGrid w:val="0"/>
        <w:spacing w:before="97" w:line="460" w:lineRule="exact"/>
        <w:ind w:right="-466" w:rightChars="-222" w:firstLine="241" w:firstLineChars="100"/>
        <w:jc w:val="left"/>
        <w:rPr>
          <w:rFonts w:ascii="宋体" w:hAnsi="宋体" w:cs="宋体"/>
          <w:b/>
          <w:bCs/>
          <w:kern w:val="0"/>
          <w:sz w:val="24"/>
        </w:rPr>
      </w:pPr>
      <w:r>
        <w:rPr>
          <w:rFonts w:hint="eastAsia" w:ascii="宋体" w:hAnsi="宋体" w:cs="宋体"/>
          <w:b/>
          <w:bCs/>
          <w:sz w:val="24"/>
        </w:rPr>
        <w:t>1.服务期：</w:t>
      </w:r>
      <w:r>
        <w:rPr>
          <w:rFonts w:hint="eastAsia" w:ascii="宋体" w:hAnsi="宋体" w:cs="宋体"/>
          <w:b/>
          <w:bCs/>
          <w:kern w:val="0"/>
          <w:sz w:val="24"/>
        </w:rPr>
        <w:t>一年（具体时间以合同为准）</w:t>
      </w:r>
    </w:p>
    <w:p>
      <w:pPr>
        <w:pStyle w:val="15"/>
        <w:widowControl w:val="0"/>
        <w:spacing w:before="97" w:beforeAutospacing="0" w:after="0" w:afterAutospacing="0" w:line="480" w:lineRule="exact"/>
        <w:ind w:firstLine="241" w:firstLineChars="100"/>
        <w:jc w:val="both"/>
        <w:rPr>
          <w:rFonts w:cs="宋体"/>
          <w:b/>
          <w:bCs/>
          <w:kern w:val="2"/>
        </w:rPr>
      </w:pPr>
      <w:r>
        <w:rPr>
          <w:rFonts w:hint="eastAsia" w:cs="宋体"/>
          <w:b/>
          <w:bCs/>
          <w:kern w:val="2"/>
        </w:rPr>
        <w:t>2.磋商报价</w:t>
      </w:r>
      <w:bookmarkStart w:id="1" w:name="_Toc367036911"/>
      <w:bookmarkEnd w:id="1"/>
      <w:bookmarkStart w:id="2" w:name="_Toc352054716"/>
      <w:bookmarkEnd w:id="2"/>
    </w:p>
    <w:p>
      <w:pPr>
        <w:pStyle w:val="15"/>
        <w:widowControl w:val="0"/>
        <w:spacing w:before="97" w:beforeAutospacing="0" w:after="0" w:afterAutospacing="0" w:line="480" w:lineRule="exact"/>
        <w:ind w:firstLine="720" w:firstLineChars="300"/>
        <w:jc w:val="both"/>
        <w:rPr>
          <w:rFonts w:cs="宋体"/>
          <w:bCs/>
        </w:rPr>
      </w:pPr>
      <w:r>
        <w:rPr>
          <w:rFonts w:hint="eastAsia" w:cs="宋体"/>
          <w:bCs/>
        </w:rPr>
        <w:t>本项目磋商总价包括系统维护、设备更换、耗材、调试、人工、管理、税金等各项交付采购人使用的一切所有费用。</w:t>
      </w:r>
    </w:p>
    <w:p>
      <w:pPr>
        <w:spacing w:before="97" w:line="440" w:lineRule="exact"/>
        <w:ind w:firstLine="241" w:firstLineChars="100"/>
        <w:rPr>
          <w:rFonts w:ascii="宋体" w:hAnsi="宋体" w:cs="宋体"/>
          <w:bCs/>
          <w:kern w:val="0"/>
          <w:sz w:val="24"/>
        </w:rPr>
      </w:pPr>
      <w:r>
        <w:rPr>
          <w:rFonts w:hint="eastAsia" w:ascii="宋体" w:hAnsi="宋体" w:cs="宋体"/>
          <w:b/>
          <w:kern w:val="0"/>
          <w:sz w:val="24"/>
        </w:rPr>
        <w:t>3.付款方式：</w:t>
      </w:r>
      <w:bookmarkEnd w:id="0"/>
      <w:r>
        <w:rPr>
          <w:rFonts w:hint="eastAsia" w:ascii="宋体" w:hAnsi="宋体" w:cs="宋体"/>
          <w:bCs/>
          <w:kern w:val="0"/>
          <w:sz w:val="24"/>
        </w:rPr>
        <w:t>本项目按季度平均支付，每季度根据考核结果支付服务费。</w:t>
      </w:r>
    </w:p>
    <w:p>
      <w:pPr>
        <w:spacing w:before="97" w:line="440" w:lineRule="exact"/>
        <w:ind w:firstLine="241" w:firstLineChars="100"/>
        <w:rPr>
          <w:rFonts w:ascii="宋体" w:hAnsi="宋体" w:cs="宋体"/>
          <w:b/>
          <w:bCs/>
          <w:kern w:val="0"/>
          <w:sz w:val="24"/>
        </w:rPr>
      </w:pPr>
      <w:r>
        <w:rPr>
          <w:rFonts w:hint="eastAsia" w:ascii="宋体" w:hAnsi="宋体" w:cs="宋体"/>
          <w:b/>
          <w:bCs/>
          <w:kern w:val="0"/>
          <w:sz w:val="24"/>
        </w:rPr>
        <w:t>税费：本服务执行中相关的一切税费均由成交供应商承担。</w:t>
      </w:r>
    </w:p>
    <w:p>
      <w:pPr>
        <w:spacing w:before="97" w:line="440" w:lineRule="exact"/>
        <w:ind w:firstLine="241" w:firstLineChars="100"/>
        <w:rPr>
          <w:rFonts w:ascii="宋体" w:hAnsi="宋体" w:cs="宋体"/>
          <w:b/>
          <w:bCs/>
          <w:kern w:val="0"/>
          <w:sz w:val="24"/>
        </w:rPr>
      </w:pPr>
      <w:r>
        <w:rPr>
          <w:rFonts w:hint="eastAsia" w:ascii="宋体" w:hAnsi="宋体" w:cs="宋体"/>
          <w:b/>
          <w:sz w:val="24"/>
          <w:lang w:val="zh-CN"/>
        </w:rPr>
        <w:t>4.</w:t>
      </w:r>
      <w:r>
        <w:rPr>
          <w:rFonts w:hint="eastAsia" w:ascii="宋体" w:hAnsi="宋体" w:cs="宋体"/>
          <w:b/>
          <w:bCs/>
          <w:kern w:val="0"/>
          <w:sz w:val="24"/>
        </w:rPr>
        <w:t>考核要求：</w:t>
      </w:r>
    </w:p>
    <w:p>
      <w:pPr>
        <w:widowControl/>
        <w:adjustRightInd w:val="0"/>
        <w:snapToGrid w:val="0"/>
        <w:spacing w:before="97" w:line="460" w:lineRule="exact"/>
        <w:ind w:right="-466" w:rightChars="-222" w:firstLine="211" w:firstLineChars="100"/>
        <w:jc w:val="left"/>
        <w:rPr>
          <w:rFonts w:ascii="宋体" w:hAnsi="宋体"/>
          <w:b/>
          <w:bCs/>
        </w:rPr>
      </w:pPr>
      <w:r>
        <w:rPr>
          <w:rFonts w:hint="eastAsia" w:ascii="宋体" w:hAnsi="宋体"/>
          <w:b/>
          <w:bCs/>
        </w:rPr>
        <w:t>（1）供应商季度考核表</w:t>
      </w:r>
    </w:p>
    <w:p>
      <w:pPr>
        <w:spacing w:before="97" w:line="360" w:lineRule="auto"/>
        <w:jc w:val="center"/>
        <w:rPr>
          <w:rFonts w:ascii="宋体" w:hAnsi="宋体"/>
        </w:rPr>
      </w:pPr>
      <w:r>
        <w:rPr>
          <w:rFonts w:hint="eastAsia" w:ascii="宋体" w:hAnsi="宋体"/>
        </w:rPr>
        <w:t>供应商季度考核表</w:t>
      </w:r>
    </w:p>
    <w:tbl>
      <w:tblPr>
        <w:tblStyle w:val="17"/>
        <w:tblW w:w="8797" w:type="dxa"/>
        <w:jc w:val="center"/>
        <w:tblLayout w:type="autofit"/>
        <w:tblCellMar>
          <w:top w:w="0" w:type="dxa"/>
          <w:left w:w="108" w:type="dxa"/>
          <w:bottom w:w="0" w:type="dxa"/>
          <w:right w:w="108" w:type="dxa"/>
        </w:tblCellMar>
      </w:tblPr>
      <w:tblGrid>
        <w:gridCol w:w="857"/>
        <w:gridCol w:w="1589"/>
        <w:gridCol w:w="6351"/>
      </w:tblGrid>
      <w:tr>
        <w:tblPrEx>
          <w:tblCellMar>
            <w:top w:w="0" w:type="dxa"/>
            <w:left w:w="108" w:type="dxa"/>
            <w:bottom w:w="0" w:type="dxa"/>
            <w:right w:w="108" w:type="dxa"/>
          </w:tblCellMar>
        </w:tblPrEx>
        <w:trPr>
          <w:trHeight w:val="694" w:hRule="atLeast"/>
          <w:jc w:val="center"/>
        </w:trPr>
        <w:tc>
          <w:tcPr>
            <w:tcW w:w="857" w:type="dxa"/>
            <w:tcBorders>
              <w:top w:val="single" w:color="auto" w:sz="8" w:space="0"/>
              <w:left w:val="single" w:color="auto" w:sz="8" w:space="0"/>
              <w:bottom w:val="single" w:color="auto" w:sz="8" w:space="0"/>
              <w:right w:val="single" w:color="auto" w:sz="8" w:space="0"/>
            </w:tcBorders>
            <w:vAlign w:val="center"/>
          </w:tcPr>
          <w:p>
            <w:pPr>
              <w:widowControl/>
              <w:spacing w:before="97"/>
              <w:jc w:val="center"/>
              <w:rPr>
                <w:rFonts w:ascii="宋体" w:hAnsi="宋体" w:cs="宋体"/>
                <w:b/>
                <w:bCs/>
                <w:color w:val="000000"/>
              </w:rPr>
            </w:pPr>
            <w:r>
              <w:rPr>
                <w:rFonts w:hint="eastAsia" w:ascii="宋体" w:hAnsi="宋体" w:cs="宋体"/>
                <w:b/>
                <w:bCs/>
                <w:color w:val="000000"/>
                <w:kern w:val="0"/>
                <w:sz w:val="24"/>
              </w:rPr>
              <w:t>序号</w:t>
            </w:r>
          </w:p>
        </w:tc>
        <w:tc>
          <w:tcPr>
            <w:tcW w:w="1589" w:type="dxa"/>
            <w:tcBorders>
              <w:top w:val="single" w:color="auto" w:sz="8" w:space="0"/>
              <w:left w:val="nil"/>
              <w:bottom w:val="single" w:color="auto" w:sz="8" w:space="0"/>
              <w:right w:val="single" w:color="auto" w:sz="8" w:space="0"/>
            </w:tcBorders>
            <w:vAlign w:val="center"/>
          </w:tcPr>
          <w:p>
            <w:pPr>
              <w:widowControl/>
              <w:spacing w:before="97"/>
              <w:jc w:val="center"/>
              <w:rPr>
                <w:rFonts w:ascii="宋体" w:hAnsi="宋体" w:cs="宋体"/>
                <w:b/>
                <w:bCs/>
                <w:color w:val="000000"/>
              </w:rPr>
            </w:pPr>
            <w:r>
              <w:rPr>
                <w:rFonts w:hint="eastAsia" w:ascii="宋体" w:hAnsi="宋体" w:cs="宋体"/>
                <w:b/>
                <w:bCs/>
                <w:color w:val="000000"/>
                <w:kern w:val="0"/>
                <w:sz w:val="24"/>
              </w:rPr>
              <w:t>考核项目</w:t>
            </w:r>
          </w:p>
        </w:tc>
        <w:tc>
          <w:tcPr>
            <w:tcW w:w="6351" w:type="dxa"/>
            <w:tcBorders>
              <w:top w:val="single" w:color="auto" w:sz="8" w:space="0"/>
              <w:left w:val="nil"/>
              <w:bottom w:val="single" w:color="auto" w:sz="8" w:space="0"/>
              <w:right w:val="single" w:color="auto" w:sz="8" w:space="0"/>
            </w:tcBorders>
            <w:vAlign w:val="center"/>
          </w:tcPr>
          <w:p>
            <w:pPr>
              <w:widowControl/>
              <w:spacing w:before="97"/>
              <w:jc w:val="center"/>
              <w:rPr>
                <w:rFonts w:ascii="宋体" w:hAnsi="宋体" w:cs="宋体"/>
                <w:b/>
                <w:bCs/>
                <w:color w:val="000000"/>
              </w:rPr>
            </w:pPr>
            <w:r>
              <w:rPr>
                <w:rFonts w:hint="eastAsia" w:ascii="宋体" w:hAnsi="宋体" w:cs="宋体"/>
                <w:b/>
                <w:bCs/>
                <w:color w:val="000000"/>
                <w:kern w:val="0"/>
                <w:sz w:val="24"/>
              </w:rPr>
              <w:t>考核要求</w:t>
            </w:r>
          </w:p>
        </w:tc>
      </w:tr>
      <w:tr>
        <w:tblPrEx>
          <w:tblCellMar>
            <w:top w:w="0" w:type="dxa"/>
            <w:left w:w="108" w:type="dxa"/>
            <w:bottom w:w="0" w:type="dxa"/>
            <w:right w:w="108" w:type="dxa"/>
          </w:tblCellMar>
        </w:tblPrEx>
        <w:trPr>
          <w:trHeight w:val="743" w:hRule="atLeast"/>
          <w:jc w:val="center"/>
        </w:trPr>
        <w:tc>
          <w:tcPr>
            <w:tcW w:w="857" w:type="dxa"/>
            <w:tcBorders>
              <w:top w:val="nil"/>
              <w:left w:val="single" w:color="auto" w:sz="8" w:space="0"/>
              <w:bottom w:val="single" w:color="auto" w:sz="8" w:space="0"/>
              <w:right w:val="single" w:color="auto" w:sz="8" w:space="0"/>
            </w:tcBorders>
            <w:vAlign w:val="center"/>
          </w:tcPr>
          <w:p>
            <w:pPr>
              <w:widowControl/>
              <w:spacing w:before="97"/>
              <w:jc w:val="center"/>
              <w:rPr>
                <w:rFonts w:ascii="宋体" w:hAnsi="宋体" w:cs="宋体"/>
                <w:color w:val="000000"/>
              </w:rPr>
            </w:pPr>
            <w:r>
              <w:rPr>
                <w:rFonts w:hint="eastAsia" w:ascii="宋体" w:hAnsi="宋体" w:cs="宋体"/>
                <w:color w:val="000000"/>
                <w:kern w:val="0"/>
                <w:sz w:val="24"/>
              </w:rPr>
              <w:t>1</w:t>
            </w:r>
          </w:p>
        </w:tc>
        <w:tc>
          <w:tcPr>
            <w:tcW w:w="1589" w:type="dxa"/>
            <w:tcBorders>
              <w:top w:val="nil"/>
              <w:left w:val="nil"/>
              <w:bottom w:val="single" w:color="auto" w:sz="8" w:space="0"/>
              <w:right w:val="single" w:color="auto" w:sz="8" w:space="0"/>
            </w:tcBorders>
            <w:vAlign w:val="center"/>
          </w:tcPr>
          <w:p>
            <w:pPr>
              <w:widowControl/>
              <w:spacing w:before="97"/>
              <w:jc w:val="center"/>
              <w:rPr>
                <w:rFonts w:ascii="宋体" w:hAnsi="宋体" w:cs="宋体"/>
                <w:color w:val="000000"/>
              </w:rPr>
            </w:pPr>
            <w:r>
              <w:rPr>
                <w:rFonts w:hint="eastAsia" w:ascii="宋体" w:hAnsi="宋体" w:cs="宋体"/>
                <w:color w:val="000000"/>
                <w:kern w:val="0"/>
                <w:sz w:val="24"/>
              </w:rPr>
              <w:t>电话接听</w:t>
            </w:r>
          </w:p>
        </w:tc>
        <w:tc>
          <w:tcPr>
            <w:tcW w:w="6351" w:type="dxa"/>
            <w:tcBorders>
              <w:top w:val="nil"/>
              <w:left w:val="nil"/>
              <w:bottom w:val="single" w:color="auto" w:sz="8" w:space="0"/>
              <w:right w:val="single" w:color="auto" w:sz="8" w:space="0"/>
            </w:tcBorders>
            <w:vAlign w:val="center"/>
          </w:tcPr>
          <w:p>
            <w:pPr>
              <w:widowControl/>
              <w:spacing w:before="97"/>
              <w:jc w:val="left"/>
              <w:rPr>
                <w:rFonts w:ascii="宋体" w:hAnsi="宋体" w:cs="宋体"/>
                <w:color w:val="000000"/>
              </w:rPr>
            </w:pPr>
            <w:r>
              <w:rPr>
                <w:rFonts w:hint="eastAsia" w:ascii="宋体" w:hAnsi="宋体" w:cs="宋体"/>
                <w:color w:val="000000"/>
                <w:kern w:val="0"/>
                <w:sz w:val="24"/>
              </w:rPr>
              <w:t>要求接听率99%以上，回复率、派单率100%。</w:t>
            </w:r>
          </w:p>
        </w:tc>
      </w:tr>
      <w:tr>
        <w:trPr>
          <w:trHeight w:val="817" w:hRule="atLeast"/>
          <w:jc w:val="center"/>
        </w:trPr>
        <w:tc>
          <w:tcPr>
            <w:tcW w:w="857" w:type="dxa"/>
            <w:tcBorders>
              <w:top w:val="nil"/>
              <w:left w:val="single" w:color="auto" w:sz="8" w:space="0"/>
              <w:bottom w:val="single" w:color="auto" w:sz="8" w:space="0"/>
              <w:right w:val="single" w:color="auto" w:sz="8" w:space="0"/>
            </w:tcBorders>
            <w:vAlign w:val="center"/>
          </w:tcPr>
          <w:p>
            <w:pPr>
              <w:widowControl/>
              <w:spacing w:before="97"/>
              <w:jc w:val="center"/>
              <w:rPr>
                <w:rFonts w:ascii="宋体" w:hAnsi="宋体" w:cs="宋体"/>
                <w:color w:val="000000"/>
              </w:rPr>
            </w:pPr>
            <w:r>
              <w:rPr>
                <w:rFonts w:hint="eastAsia" w:ascii="宋体" w:hAnsi="宋体" w:cs="宋体"/>
                <w:color w:val="000000"/>
                <w:kern w:val="0"/>
                <w:sz w:val="24"/>
              </w:rPr>
              <w:t>2</w:t>
            </w:r>
          </w:p>
        </w:tc>
        <w:tc>
          <w:tcPr>
            <w:tcW w:w="1589" w:type="dxa"/>
            <w:tcBorders>
              <w:top w:val="nil"/>
              <w:left w:val="nil"/>
              <w:bottom w:val="single" w:color="auto" w:sz="8" w:space="0"/>
              <w:right w:val="single" w:color="auto" w:sz="8" w:space="0"/>
            </w:tcBorders>
            <w:vAlign w:val="center"/>
          </w:tcPr>
          <w:p>
            <w:pPr>
              <w:widowControl/>
              <w:spacing w:before="97"/>
              <w:jc w:val="center"/>
              <w:rPr>
                <w:rFonts w:ascii="宋体" w:hAnsi="宋体" w:cs="宋体"/>
                <w:color w:val="000000"/>
              </w:rPr>
            </w:pPr>
            <w:r>
              <w:rPr>
                <w:rFonts w:hint="eastAsia" w:ascii="宋体" w:hAnsi="宋体" w:cs="宋体"/>
                <w:color w:val="000000"/>
                <w:kern w:val="0"/>
                <w:sz w:val="24"/>
              </w:rPr>
              <w:t>工单管理</w:t>
            </w:r>
          </w:p>
        </w:tc>
        <w:tc>
          <w:tcPr>
            <w:tcW w:w="6351" w:type="dxa"/>
            <w:tcBorders>
              <w:top w:val="nil"/>
              <w:left w:val="nil"/>
              <w:bottom w:val="single" w:color="auto" w:sz="8" w:space="0"/>
              <w:right w:val="single" w:color="auto" w:sz="8" w:space="0"/>
            </w:tcBorders>
            <w:vAlign w:val="center"/>
          </w:tcPr>
          <w:p>
            <w:pPr>
              <w:widowControl/>
              <w:spacing w:before="97"/>
              <w:jc w:val="left"/>
              <w:rPr>
                <w:rFonts w:ascii="宋体" w:hAnsi="宋体" w:cs="宋体"/>
                <w:color w:val="000000"/>
              </w:rPr>
            </w:pPr>
            <w:r>
              <w:rPr>
                <w:rFonts w:hint="eastAsia" w:ascii="宋体" w:hAnsi="宋体" w:cs="宋体"/>
                <w:color w:val="000000"/>
                <w:kern w:val="0"/>
                <w:sz w:val="24"/>
              </w:rPr>
              <w:t>要求所有维修、更换、替换、盘点等事件等均上线，做到工单100%上线，100%闭环。</w:t>
            </w:r>
          </w:p>
        </w:tc>
      </w:tr>
      <w:tr>
        <w:tblPrEx>
          <w:tblCellMar>
            <w:top w:w="0" w:type="dxa"/>
            <w:left w:w="108" w:type="dxa"/>
            <w:bottom w:w="0" w:type="dxa"/>
            <w:right w:w="108" w:type="dxa"/>
          </w:tblCellMar>
        </w:tblPrEx>
        <w:trPr>
          <w:trHeight w:val="817" w:hRule="atLeast"/>
          <w:jc w:val="center"/>
        </w:trPr>
        <w:tc>
          <w:tcPr>
            <w:tcW w:w="857" w:type="dxa"/>
            <w:tcBorders>
              <w:top w:val="nil"/>
              <w:left w:val="single" w:color="auto" w:sz="8" w:space="0"/>
              <w:bottom w:val="single" w:color="auto" w:sz="8" w:space="0"/>
              <w:right w:val="single" w:color="auto" w:sz="8" w:space="0"/>
            </w:tcBorders>
            <w:vAlign w:val="center"/>
          </w:tcPr>
          <w:p>
            <w:pPr>
              <w:widowControl/>
              <w:spacing w:before="97"/>
              <w:jc w:val="center"/>
              <w:rPr>
                <w:rFonts w:ascii="宋体" w:hAnsi="宋体" w:cs="宋体"/>
                <w:color w:val="000000"/>
              </w:rPr>
            </w:pPr>
            <w:r>
              <w:rPr>
                <w:rFonts w:hint="eastAsia" w:ascii="宋体" w:hAnsi="宋体" w:cs="宋体"/>
                <w:color w:val="000000"/>
                <w:kern w:val="0"/>
                <w:sz w:val="24"/>
              </w:rPr>
              <w:t>3</w:t>
            </w:r>
          </w:p>
        </w:tc>
        <w:tc>
          <w:tcPr>
            <w:tcW w:w="1589" w:type="dxa"/>
            <w:tcBorders>
              <w:top w:val="nil"/>
              <w:left w:val="nil"/>
              <w:bottom w:val="single" w:color="auto" w:sz="8" w:space="0"/>
              <w:right w:val="single" w:color="auto" w:sz="8" w:space="0"/>
            </w:tcBorders>
            <w:noWrap/>
            <w:vAlign w:val="center"/>
          </w:tcPr>
          <w:p>
            <w:pPr>
              <w:widowControl/>
              <w:spacing w:before="97"/>
              <w:jc w:val="center"/>
              <w:rPr>
                <w:rFonts w:ascii="宋体" w:hAnsi="宋体" w:cs="宋体"/>
                <w:color w:val="000000"/>
              </w:rPr>
            </w:pPr>
            <w:r>
              <w:rPr>
                <w:rFonts w:hint="eastAsia" w:ascii="宋体" w:hAnsi="宋体" w:cs="宋体"/>
                <w:color w:val="000000"/>
                <w:kern w:val="0"/>
                <w:sz w:val="24"/>
              </w:rPr>
              <w:t>考勤管理</w:t>
            </w:r>
          </w:p>
        </w:tc>
        <w:tc>
          <w:tcPr>
            <w:tcW w:w="6351" w:type="dxa"/>
            <w:tcBorders>
              <w:top w:val="nil"/>
              <w:left w:val="nil"/>
              <w:bottom w:val="single" w:color="auto" w:sz="8" w:space="0"/>
              <w:right w:val="single" w:color="auto" w:sz="8" w:space="0"/>
            </w:tcBorders>
            <w:vAlign w:val="center"/>
          </w:tcPr>
          <w:p>
            <w:pPr>
              <w:widowControl/>
              <w:spacing w:before="97"/>
              <w:jc w:val="left"/>
              <w:rPr>
                <w:rFonts w:ascii="宋体" w:hAnsi="宋体" w:cs="宋体"/>
                <w:color w:val="000000"/>
              </w:rPr>
            </w:pPr>
            <w:r>
              <w:rPr>
                <w:rFonts w:hint="eastAsia" w:ascii="宋体" w:hAnsi="宋体" w:cs="宋体"/>
                <w:color w:val="000000"/>
                <w:kern w:val="0"/>
                <w:sz w:val="24"/>
              </w:rPr>
              <w:t>要求建立考勤制度，定时打卡。并将考勤打卡规则同步给医院管理部门。</w:t>
            </w:r>
          </w:p>
        </w:tc>
      </w:tr>
      <w:tr>
        <w:tblPrEx>
          <w:tblCellMar>
            <w:top w:w="0" w:type="dxa"/>
            <w:left w:w="108" w:type="dxa"/>
            <w:bottom w:w="0" w:type="dxa"/>
            <w:right w:w="108" w:type="dxa"/>
          </w:tblCellMar>
        </w:tblPrEx>
        <w:trPr>
          <w:trHeight w:val="967" w:hRule="atLeast"/>
          <w:jc w:val="center"/>
        </w:trPr>
        <w:tc>
          <w:tcPr>
            <w:tcW w:w="857" w:type="dxa"/>
            <w:tcBorders>
              <w:top w:val="nil"/>
              <w:left w:val="single" w:color="auto" w:sz="8" w:space="0"/>
              <w:bottom w:val="single" w:color="auto" w:sz="8" w:space="0"/>
              <w:right w:val="single" w:color="auto" w:sz="8" w:space="0"/>
            </w:tcBorders>
            <w:vAlign w:val="center"/>
          </w:tcPr>
          <w:p>
            <w:pPr>
              <w:widowControl/>
              <w:spacing w:before="97"/>
              <w:jc w:val="center"/>
              <w:rPr>
                <w:rFonts w:ascii="宋体" w:hAnsi="宋体" w:cs="宋体"/>
                <w:color w:val="000000"/>
              </w:rPr>
            </w:pPr>
            <w:r>
              <w:rPr>
                <w:rFonts w:hint="eastAsia" w:ascii="宋体" w:hAnsi="宋体" w:cs="宋体"/>
                <w:color w:val="000000"/>
                <w:kern w:val="0"/>
                <w:sz w:val="24"/>
              </w:rPr>
              <w:t>4</w:t>
            </w:r>
          </w:p>
        </w:tc>
        <w:tc>
          <w:tcPr>
            <w:tcW w:w="1589" w:type="dxa"/>
            <w:tcBorders>
              <w:top w:val="nil"/>
              <w:left w:val="nil"/>
              <w:bottom w:val="single" w:color="auto" w:sz="8" w:space="0"/>
              <w:right w:val="single" w:color="auto" w:sz="8" w:space="0"/>
            </w:tcBorders>
            <w:noWrap/>
            <w:vAlign w:val="center"/>
          </w:tcPr>
          <w:p>
            <w:pPr>
              <w:widowControl/>
              <w:spacing w:before="97"/>
              <w:jc w:val="center"/>
              <w:rPr>
                <w:rFonts w:ascii="宋体" w:hAnsi="宋体" w:cs="宋体"/>
                <w:color w:val="000000"/>
              </w:rPr>
            </w:pPr>
            <w:r>
              <w:rPr>
                <w:rFonts w:hint="eastAsia" w:ascii="宋体" w:hAnsi="宋体" w:cs="宋体"/>
                <w:color w:val="000000"/>
                <w:kern w:val="0"/>
                <w:sz w:val="24"/>
              </w:rPr>
              <w:t>绩效管理</w:t>
            </w:r>
          </w:p>
        </w:tc>
        <w:tc>
          <w:tcPr>
            <w:tcW w:w="6351" w:type="dxa"/>
            <w:tcBorders>
              <w:top w:val="nil"/>
              <w:left w:val="nil"/>
              <w:bottom w:val="single" w:color="auto" w:sz="8" w:space="0"/>
              <w:right w:val="single" w:color="auto" w:sz="8" w:space="0"/>
            </w:tcBorders>
            <w:vAlign w:val="center"/>
          </w:tcPr>
          <w:p>
            <w:pPr>
              <w:widowControl/>
              <w:spacing w:before="97"/>
              <w:jc w:val="left"/>
              <w:rPr>
                <w:rFonts w:ascii="宋体" w:hAnsi="宋体" w:cs="宋体"/>
                <w:color w:val="000000"/>
              </w:rPr>
            </w:pPr>
            <w:r>
              <w:rPr>
                <w:rFonts w:hint="eastAsia" w:ascii="宋体" w:hAnsi="宋体" w:cs="宋体"/>
                <w:color w:val="000000"/>
                <w:kern w:val="0"/>
                <w:sz w:val="24"/>
              </w:rPr>
              <w:t>要求对在院工程师排班、绩效考核管理，对“接单时间-处理时间-处理效率”有详细的考核标准，跟工程师绩效挂钩。</w:t>
            </w:r>
          </w:p>
        </w:tc>
      </w:tr>
      <w:tr>
        <w:tblPrEx>
          <w:tblCellMar>
            <w:top w:w="0" w:type="dxa"/>
            <w:left w:w="108" w:type="dxa"/>
            <w:bottom w:w="0" w:type="dxa"/>
            <w:right w:w="108" w:type="dxa"/>
          </w:tblCellMar>
        </w:tblPrEx>
        <w:trPr>
          <w:trHeight w:val="768" w:hRule="atLeast"/>
          <w:jc w:val="center"/>
        </w:trPr>
        <w:tc>
          <w:tcPr>
            <w:tcW w:w="857" w:type="dxa"/>
            <w:tcBorders>
              <w:top w:val="nil"/>
              <w:left w:val="single" w:color="auto" w:sz="8" w:space="0"/>
              <w:bottom w:val="single" w:color="auto" w:sz="8" w:space="0"/>
              <w:right w:val="single" w:color="auto" w:sz="8" w:space="0"/>
            </w:tcBorders>
            <w:vAlign w:val="center"/>
          </w:tcPr>
          <w:p>
            <w:pPr>
              <w:widowControl/>
              <w:spacing w:before="97"/>
              <w:jc w:val="center"/>
              <w:rPr>
                <w:rFonts w:ascii="宋体" w:hAnsi="宋体" w:cs="宋体"/>
                <w:color w:val="000000"/>
              </w:rPr>
            </w:pPr>
            <w:r>
              <w:rPr>
                <w:rFonts w:hint="eastAsia" w:ascii="宋体" w:hAnsi="宋体" w:cs="宋体"/>
                <w:color w:val="000000"/>
                <w:kern w:val="0"/>
                <w:sz w:val="24"/>
              </w:rPr>
              <w:t>5</w:t>
            </w:r>
          </w:p>
        </w:tc>
        <w:tc>
          <w:tcPr>
            <w:tcW w:w="1589" w:type="dxa"/>
            <w:tcBorders>
              <w:top w:val="nil"/>
              <w:left w:val="nil"/>
              <w:bottom w:val="single" w:color="auto" w:sz="8" w:space="0"/>
              <w:right w:val="single" w:color="auto" w:sz="8" w:space="0"/>
            </w:tcBorders>
            <w:noWrap/>
            <w:vAlign w:val="center"/>
          </w:tcPr>
          <w:p>
            <w:pPr>
              <w:widowControl/>
              <w:spacing w:before="97"/>
              <w:jc w:val="center"/>
              <w:rPr>
                <w:rFonts w:ascii="宋体" w:hAnsi="宋体" w:cs="宋体"/>
                <w:color w:val="000000"/>
              </w:rPr>
            </w:pPr>
            <w:r>
              <w:rPr>
                <w:rFonts w:hint="eastAsia" w:ascii="宋体" w:hAnsi="宋体" w:cs="宋体"/>
                <w:color w:val="000000"/>
                <w:kern w:val="0"/>
                <w:sz w:val="24"/>
              </w:rPr>
              <w:t>人员服装</w:t>
            </w:r>
          </w:p>
        </w:tc>
        <w:tc>
          <w:tcPr>
            <w:tcW w:w="6351" w:type="dxa"/>
            <w:tcBorders>
              <w:top w:val="nil"/>
              <w:left w:val="nil"/>
              <w:bottom w:val="single" w:color="auto" w:sz="8" w:space="0"/>
              <w:right w:val="single" w:color="auto" w:sz="8" w:space="0"/>
            </w:tcBorders>
            <w:vAlign w:val="center"/>
          </w:tcPr>
          <w:p>
            <w:pPr>
              <w:widowControl/>
              <w:spacing w:before="97"/>
              <w:jc w:val="left"/>
              <w:rPr>
                <w:rFonts w:ascii="宋体" w:hAnsi="宋体" w:cs="宋体"/>
                <w:color w:val="000000"/>
              </w:rPr>
            </w:pPr>
            <w:r>
              <w:rPr>
                <w:rFonts w:hint="eastAsia" w:ascii="宋体" w:hAnsi="宋体" w:cs="宋体"/>
                <w:color w:val="000000"/>
                <w:kern w:val="0"/>
                <w:sz w:val="24"/>
              </w:rPr>
              <w:t>要求外派工程师穿着统一工作服，佩戴工牌，便于辨识。</w:t>
            </w:r>
          </w:p>
        </w:tc>
      </w:tr>
      <w:tr>
        <w:tblPrEx>
          <w:tblCellMar>
            <w:top w:w="0" w:type="dxa"/>
            <w:left w:w="108" w:type="dxa"/>
            <w:bottom w:w="0" w:type="dxa"/>
            <w:right w:w="108" w:type="dxa"/>
          </w:tblCellMar>
        </w:tblPrEx>
        <w:trPr>
          <w:trHeight w:val="967" w:hRule="atLeast"/>
          <w:jc w:val="center"/>
        </w:trPr>
        <w:tc>
          <w:tcPr>
            <w:tcW w:w="857" w:type="dxa"/>
            <w:tcBorders>
              <w:top w:val="nil"/>
              <w:left w:val="single" w:color="auto" w:sz="8" w:space="0"/>
              <w:bottom w:val="single" w:color="auto" w:sz="8" w:space="0"/>
              <w:right w:val="single" w:color="auto" w:sz="8" w:space="0"/>
            </w:tcBorders>
            <w:vAlign w:val="center"/>
          </w:tcPr>
          <w:p>
            <w:pPr>
              <w:widowControl/>
              <w:spacing w:before="97"/>
              <w:jc w:val="center"/>
              <w:rPr>
                <w:rFonts w:ascii="宋体" w:hAnsi="宋体" w:cs="宋体"/>
                <w:color w:val="000000"/>
              </w:rPr>
            </w:pPr>
            <w:r>
              <w:rPr>
                <w:rFonts w:hint="eastAsia" w:ascii="宋体" w:hAnsi="宋体" w:cs="宋体"/>
                <w:color w:val="000000"/>
                <w:kern w:val="0"/>
                <w:sz w:val="24"/>
              </w:rPr>
              <w:t>6</w:t>
            </w:r>
          </w:p>
        </w:tc>
        <w:tc>
          <w:tcPr>
            <w:tcW w:w="1589" w:type="dxa"/>
            <w:tcBorders>
              <w:top w:val="nil"/>
              <w:left w:val="nil"/>
              <w:bottom w:val="single" w:color="auto" w:sz="8" w:space="0"/>
              <w:right w:val="single" w:color="auto" w:sz="8" w:space="0"/>
            </w:tcBorders>
            <w:noWrap/>
            <w:vAlign w:val="center"/>
          </w:tcPr>
          <w:p>
            <w:pPr>
              <w:widowControl/>
              <w:spacing w:before="97"/>
              <w:jc w:val="center"/>
              <w:rPr>
                <w:rFonts w:ascii="宋体" w:hAnsi="宋体" w:cs="宋体"/>
                <w:color w:val="000000"/>
              </w:rPr>
            </w:pPr>
            <w:r>
              <w:rPr>
                <w:rFonts w:hint="eastAsia" w:ascii="宋体" w:hAnsi="宋体" w:cs="宋体"/>
                <w:color w:val="000000"/>
                <w:kern w:val="0"/>
                <w:sz w:val="24"/>
              </w:rPr>
              <w:t>设备管理</w:t>
            </w:r>
          </w:p>
        </w:tc>
        <w:tc>
          <w:tcPr>
            <w:tcW w:w="6351" w:type="dxa"/>
            <w:tcBorders>
              <w:top w:val="nil"/>
              <w:left w:val="nil"/>
              <w:bottom w:val="single" w:color="auto" w:sz="8" w:space="0"/>
              <w:right w:val="single" w:color="auto" w:sz="8" w:space="0"/>
            </w:tcBorders>
            <w:vAlign w:val="center"/>
          </w:tcPr>
          <w:p>
            <w:pPr>
              <w:widowControl/>
              <w:spacing w:before="97"/>
              <w:jc w:val="left"/>
              <w:rPr>
                <w:rFonts w:ascii="宋体" w:hAnsi="宋体" w:cs="宋体"/>
                <w:color w:val="000000"/>
              </w:rPr>
            </w:pPr>
            <w:r>
              <w:rPr>
                <w:rFonts w:hint="eastAsia" w:ascii="宋体" w:hAnsi="宋体" w:cs="宋体"/>
                <w:color w:val="000000"/>
                <w:kern w:val="0"/>
                <w:sz w:val="24"/>
              </w:rPr>
              <w:t>要求对设备实行一物一码管理，区别医院设备、备用机、公司设备。一年至少盘点2次。能随时从系统中导出准确的设备等数据清单。</w:t>
            </w:r>
          </w:p>
        </w:tc>
      </w:tr>
      <w:tr>
        <w:tblPrEx>
          <w:tblCellMar>
            <w:top w:w="0" w:type="dxa"/>
            <w:left w:w="108" w:type="dxa"/>
            <w:bottom w:w="0" w:type="dxa"/>
            <w:right w:w="108" w:type="dxa"/>
          </w:tblCellMar>
        </w:tblPrEx>
        <w:trPr>
          <w:trHeight w:val="817" w:hRule="atLeast"/>
          <w:jc w:val="center"/>
        </w:trPr>
        <w:tc>
          <w:tcPr>
            <w:tcW w:w="857" w:type="dxa"/>
            <w:tcBorders>
              <w:top w:val="nil"/>
              <w:left w:val="single" w:color="auto" w:sz="8" w:space="0"/>
              <w:bottom w:val="single" w:color="auto" w:sz="8" w:space="0"/>
              <w:right w:val="single" w:color="auto" w:sz="8" w:space="0"/>
            </w:tcBorders>
            <w:vAlign w:val="center"/>
          </w:tcPr>
          <w:p>
            <w:pPr>
              <w:widowControl/>
              <w:spacing w:before="97"/>
              <w:jc w:val="center"/>
              <w:rPr>
                <w:rFonts w:ascii="宋体" w:hAnsi="宋体" w:cs="宋体"/>
                <w:color w:val="000000"/>
              </w:rPr>
            </w:pPr>
            <w:r>
              <w:rPr>
                <w:rFonts w:hint="eastAsia" w:ascii="宋体" w:hAnsi="宋体" w:cs="宋体"/>
                <w:color w:val="000000"/>
                <w:kern w:val="0"/>
                <w:sz w:val="24"/>
              </w:rPr>
              <w:t>7</w:t>
            </w:r>
          </w:p>
        </w:tc>
        <w:tc>
          <w:tcPr>
            <w:tcW w:w="1589" w:type="dxa"/>
            <w:tcBorders>
              <w:top w:val="nil"/>
              <w:left w:val="nil"/>
              <w:bottom w:val="single" w:color="auto" w:sz="8" w:space="0"/>
              <w:right w:val="single" w:color="auto" w:sz="8" w:space="0"/>
            </w:tcBorders>
            <w:noWrap/>
            <w:vAlign w:val="center"/>
          </w:tcPr>
          <w:p>
            <w:pPr>
              <w:widowControl/>
              <w:spacing w:before="97"/>
              <w:jc w:val="center"/>
              <w:rPr>
                <w:rFonts w:ascii="宋体" w:hAnsi="宋体" w:cs="宋体"/>
                <w:color w:val="000000"/>
              </w:rPr>
            </w:pPr>
            <w:r>
              <w:rPr>
                <w:rFonts w:hint="eastAsia" w:ascii="宋体" w:hAnsi="宋体" w:cs="宋体"/>
                <w:color w:val="000000"/>
                <w:kern w:val="0"/>
                <w:sz w:val="24"/>
              </w:rPr>
              <w:t>耗材管理</w:t>
            </w:r>
          </w:p>
        </w:tc>
        <w:tc>
          <w:tcPr>
            <w:tcW w:w="6351" w:type="dxa"/>
            <w:tcBorders>
              <w:top w:val="nil"/>
              <w:left w:val="nil"/>
              <w:bottom w:val="single" w:color="auto" w:sz="8" w:space="0"/>
              <w:right w:val="single" w:color="auto" w:sz="8" w:space="0"/>
            </w:tcBorders>
            <w:vAlign w:val="center"/>
          </w:tcPr>
          <w:p>
            <w:pPr>
              <w:widowControl/>
              <w:spacing w:before="97"/>
              <w:jc w:val="left"/>
              <w:rPr>
                <w:rFonts w:ascii="宋体" w:hAnsi="宋体" w:cs="宋体"/>
                <w:color w:val="000000"/>
              </w:rPr>
            </w:pPr>
            <w:r>
              <w:rPr>
                <w:rFonts w:hint="eastAsia" w:ascii="宋体" w:hAnsi="宋体" w:cs="宋体"/>
                <w:color w:val="000000"/>
                <w:kern w:val="0"/>
                <w:sz w:val="24"/>
              </w:rPr>
              <w:t>要求对耗材实行出库管理，型号统一，能随时从系统中导出科室使用耗材等数据清单。</w:t>
            </w:r>
          </w:p>
        </w:tc>
      </w:tr>
      <w:tr>
        <w:tblPrEx>
          <w:tblCellMar>
            <w:top w:w="0" w:type="dxa"/>
            <w:left w:w="108" w:type="dxa"/>
            <w:bottom w:w="0" w:type="dxa"/>
            <w:right w:w="108" w:type="dxa"/>
          </w:tblCellMar>
        </w:tblPrEx>
        <w:trPr>
          <w:trHeight w:val="670" w:hRule="atLeast"/>
          <w:jc w:val="center"/>
        </w:trPr>
        <w:tc>
          <w:tcPr>
            <w:tcW w:w="857" w:type="dxa"/>
            <w:tcBorders>
              <w:top w:val="nil"/>
              <w:left w:val="single" w:color="auto" w:sz="8" w:space="0"/>
              <w:bottom w:val="single" w:color="auto" w:sz="8" w:space="0"/>
              <w:right w:val="single" w:color="auto" w:sz="8" w:space="0"/>
            </w:tcBorders>
            <w:vAlign w:val="center"/>
          </w:tcPr>
          <w:p>
            <w:pPr>
              <w:widowControl/>
              <w:spacing w:before="97"/>
              <w:jc w:val="center"/>
              <w:rPr>
                <w:rFonts w:ascii="宋体" w:hAnsi="宋体" w:cs="宋体"/>
                <w:color w:val="000000"/>
              </w:rPr>
            </w:pPr>
            <w:r>
              <w:rPr>
                <w:rFonts w:hint="eastAsia" w:ascii="宋体" w:hAnsi="宋体" w:cs="宋体"/>
                <w:color w:val="000000"/>
                <w:kern w:val="0"/>
                <w:sz w:val="24"/>
              </w:rPr>
              <w:t>8</w:t>
            </w:r>
          </w:p>
        </w:tc>
        <w:tc>
          <w:tcPr>
            <w:tcW w:w="1589" w:type="dxa"/>
            <w:tcBorders>
              <w:top w:val="nil"/>
              <w:left w:val="nil"/>
              <w:bottom w:val="single" w:color="auto" w:sz="8" w:space="0"/>
              <w:right w:val="single" w:color="auto" w:sz="8" w:space="0"/>
            </w:tcBorders>
            <w:noWrap/>
            <w:vAlign w:val="center"/>
          </w:tcPr>
          <w:p>
            <w:pPr>
              <w:widowControl/>
              <w:spacing w:before="97"/>
              <w:jc w:val="center"/>
              <w:rPr>
                <w:rFonts w:ascii="宋体" w:hAnsi="宋体" w:cs="宋体"/>
                <w:color w:val="000000"/>
              </w:rPr>
            </w:pPr>
            <w:r>
              <w:rPr>
                <w:rFonts w:hint="eastAsia" w:ascii="宋体" w:hAnsi="宋体" w:cs="宋体"/>
                <w:color w:val="000000"/>
                <w:kern w:val="0"/>
                <w:sz w:val="24"/>
              </w:rPr>
              <w:t>仓库管理</w:t>
            </w:r>
          </w:p>
        </w:tc>
        <w:tc>
          <w:tcPr>
            <w:tcW w:w="6351" w:type="dxa"/>
            <w:tcBorders>
              <w:top w:val="nil"/>
              <w:left w:val="nil"/>
              <w:bottom w:val="single" w:color="auto" w:sz="8" w:space="0"/>
              <w:right w:val="single" w:color="auto" w:sz="8" w:space="0"/>
            </w:tcBorders>
            <w:vAlign w:val="center"/>
          </w:tcPr>
          <w:p>
            <w:pPr>
              <w:widowControl/>
              <w:spacing w:before="97"/>
              <w:jc w:val="left"/>
              <w:rPr>
                <w:rFonts w:ascii="宋体" w:hAnsi="宋体" w:cs="宋体"/>
                <w:color w:val="000000"/>
              </w:rPr>
            </w:pPr>
            <w:r>
              <w:rPr>
                <w:rFonts w:hint="eastAsia" w:ascii="宋体" w:hAnsi="宋体" w:cs="宋体"/>
                <w:color w:val="000000"/>
                <w:kern w:val="0"/>
                <w:sz w:val="24"/>
              </w:rPr>
              <w:t>要求对本地仓库实行5s标准管理，且建立台账随时备查。</w:t>
            </w:r>
          </w:p>
        </w:tc>
      </w:tr>
      <w:tr>
        <w:tblPrEx>
          <w:tblCellMar>
            <w:top w:w="0" w:type="dxa"/>
            <w:left w:w="108" w:type="dxa"/>
            <w:bottom w:w="0" w:type="dxa"/>
            <w:right w:w="108" w:type="dxa"/>
          </w:tblCellMar>
        </w:tblPrEx>
        <w:trPr>
          <w:trHeight w:val="1217" w:hRule="atLeast"/>
          <w:jc w:val="center"/>
        </w:trPr>
        <w:tc>
          <w:tcPr>
            <w:tcW w:w="857" w:type="dxa"/>
            <w:tcBorders>
              <w:top w:val="nil"/>
              <w:left w:val="single" w:color="auto" w:sz="8" w:space="0"/>
              <w:bottom w:val="single" w:color="auto" w:sz="8" w:space="0"/>
              <w:right w:val="single" w:color="auto" w:sz="8" w:space="0"/>
            </w:tcBorders>
            <w:vAlign w:val="center"/>
          </w:tcPr>
          <w:p>
            <w:pPr>
              <w:widowControl/>
              <w:spacing w:before="97"/>
              <w:jc w:val="center"/>
              <w:rPr>
                <w:rFonts w:ascii="宋体" w:hAnsi="宋体" w:cs="宋体"/>
                <w:color w:val="000000"/>
              </w:rPr>
            </w:pPr>
            <w:r>
              <w:rPr>
                <w:rFonts w:hint="eastAsia" w:ascii="宋体" w:hAnsi="宋体" w:cs="宋体"/>
                <w:color w:val="000000"/>
                <w:kern w:val="0"/>
                <w:sz w:val="24"/>
              </w:rPr>
              <w:t>9</w:t>
            </w:r>
          </w:p>
        </w:tc>
        <w:tc>
          <w:tcPr>
            <w:tcW w:w="1589" w:type="dxa"/>
            <w:tcBorders>
              <w:top w:val="nil"/>
              <w:left w:val="nil"/>
              <w:bottom w:val="single" w:color="auto" w:sz="8" w:space="0"/>
              <w:right w:val="single" w:color="auto" w:sz="8" w:space="0"/>
            </w:tcBorders>
            <w:noWrap/>
            <w:vAlign w:val="center"/>
          </w:tcPr>
          <w:p>
            <w:pPr>
              <w:widowControl/>
              <w:spacing w:before="97"/>
              <w:jc w:val="center"/>
              <w:rPr>
                <w:rFonts w:ascii="宋体" w:hAnsi="宋体" w:cs="宋体"/>
                <w:color w:val="000000"/>
              </w:rPr>
            </w:pPr>
            <w:r>
              <w:rPr>
                <w:rFonts w:hint="eastAsia" w:ascii="宋体" w:hAnsi="宋体" w:cs="宋体"/>
                <w:color w:val="000000"/>
                <w:kern w:val="0"/>
                <w:sz w:val="24"/>
              </w:rPr>
              <w:t>季度报告</w:t>
            </w:r>
          </w:p>
        </w:tc>
        <w:tc>
          <w:tcPr>
            <w:tcW w:w="6351" w:type="dxa"/>
            <w:tcBorders>
              <w:top w:val="nil"/>
              <w:left w:val="nil"/>
              <w:bottom w:val="single" w:color="auto" w:sz="8" w:space="0"/>
              <w:right w:val="single" w:color="auto" w:sz="8" w:space="0"/>
            </w:tcBorders>
            <w:vAlign w:val="center"/>
          </w:tcPr>
          <w:p>
            <w:pPr>
              <w:widowControl/>
              <w:spacing w:before="97"/>
              <w:jc w:val="left"/>
              <w:rPr>
                <w:rFonts w:ascii="宋体" w:hAnsi="宋体" w:cs="宋体"/>
                <w:color w:val="000000"/>
              </w:rPr>
            </w:pPr>
            <w:r>
              <w:rPr>
                <w:rFonts w:hint="eastAsia" w:ascii="宋体" w:hAnsi="宋体" w:cs="宋体"/>
                <w:color w:val="000000"/>
                <w:kern w:val="0"/>
                <w:sz w:val="24"/>
              </w:rPr>
              <w:t>要求提供季度服务报告，报告内容包含：在用设备清单、工单处理数量、服务满意度。多维度故障分析、临床满意度、驻场人员绩效评分、改善建议等。</w:t>
            </w:r>
          </w:p>
        </w:tc>
      </w:tr>
      <w:tr>
        <w:trPr>
          <w:trHeight w:val="1217" w:hRule="atLeast"/>
          <w:jc w:val="center"/>
        </w:trPr>
        <w:tc>
          <w:tcPr>
            <w:tcW w:w="857" w:type="dxa"/>
            <w:tcBorders>
              <w:top w:val="nil"/>
              <w:left w:val="single" w:color="auto" w:sz="8" w:space="0"/>
              <w:bottom w:val="single" w:color="auto" w:sz="8" w:space="0"/>
              <w:right w:val="single" w:color="auto" w:sz="8" w:space="0"/>
            </w:tcBorders>
            <w:vAlign w:val="center"/>
          </w:tcPr>
          <w:p>
            <w:pPr>
              <w:widowControl/>
              <w:spacing w:before="97"/>
              <w:jc w:val="center"/>
              <w:rPr>
                <w:rFonts w:ascii="宋体" w:hAnsi="宋体" w:cs="宋体"/>
                <w:color w:val="000000"/>
              </w:rPr>
            </w:pPr>
            <w:r>
              <w:rPr>
                <w:rFonts w:hint="eastAsia" w:ascii="宋体" w:hAnsi="宋体" w:cs="宋体"/>
                <w:color w:val="000000"/>
                <w:kern w:val="0"/>
                <w:sz w:val="24"/>
              </w:rPr>
              <w:t>10</w:t>
            </w:r>
          </w:p>
        </w:tc>
        <w:tc>
          <w:tcPr>
            <w:tcW w:w="1589" w:type="dxa"/>
            <w:tcBorders>
              <w:top w:val="nil"/>
              <w:left w:val="nil"/>
              <w:bottom w:val="single" w:color="auto" w:sz="8" w:space="0"/>
              <w:right w:val="single" w:color="auto" w:sz="8" w:space="0"/>
            </w:tcBorders>
            <w:noWrap/>
            <w:vAlign w:val="center"/>
          </w:tcPr>
          <w:p>
            <w:pPr>
              <w:widowControl/>
              <w:spacing w:before="97"/>
              <w:jc w:val="center"/>
              <w:rPr>
                <w:rFonts w:ascii="宋体" w:hAnsi="宋体" w:cs="宋体"/>
                <w:color w:val="000000"/>
              </w:rPr>
            </w:pPr>
            <w:r>
              <w:rPr>
                <w:rFonts w:hint="eastAsia" w:ascii="宋体" w:hAnsi="宋体" w:cs="宋体"/>
                <w:color w:val="000000"/>
                <w:kern w:val="0"/>
                <w:sz w:val="24"/>
              </w:rPr>
              <w:t>管理制度</w:t>
            </w:r>
          </w:p>
        </w:tc>
        <w:tc>
          <w:tcPr>
            <w:tcW w:w="6351" w:type="dxa"/>
            <w:tcBorders>
              <w:top w:val="nil"/>
              <w:left w:val="nil"/>
              <w:bottom w:val="single" w:color="auto" w:sz="8" w:space="0"/>
              <w:right w:val="single" w:color="auto" w:sz="8" w:space="0"/>
            </w:tcBorders>
            <w:vAlign w:val="center"/>
          </w:tcPr>
          <w:p>
            <w:pPr>
              <w:widowControl/>
              <w:spacing w:before="97"/>
              <w:jc w:val="left"/>
              <w:rPr>
                <w:rFonts w:ascii="宋体" w:hAnsi="宋体" w:cs="宋体"/>
                <w:color w:val="000000"/>
              </w:rPr>
            </w:pPr>
            <w:r>
              <w:rPr>
                <w:rFonts w:hint="eastAsia" w:ascii="宋体" w:hAnsi="宋体" w:cs="宋体"/>
                <w:color w:val="000000"/>
                <w:kern w:val="0"/>
                <w:sz w:val="24"/>
              </w:rPr>
              <w:t>要求供应商建立运维管理制度包括但不限于人员管理、设备管理、耗材使用等细则。同步给医院管理部门。</w:t>
            </w:r>
          </w:p>
        </w:tc>
      </w:tr>
    </w:tbl>
    <w:p>
      <w:pPr>
        <w:widowControl/>
        <w:adjustRightInd w:val="0"/>
        <w:snapToGrid w:val="0"/>
        <w:spacing w:before="97" w:line="460" w:lineRule="exact"/>
        <w:ind w:right="-466" w:rightChars="-222" w:firstLine="361" w:firstLineChars="100"/>
        <w:jc w:val="left"/>
        <w:rPr>
          <w:rFonts w:ascii="宋体" w:hAnsi="宋体" w:cs="宋体"/>
          <w:b/>
          <w:sz w:val="36"/>
          <w:szCs w:val="36"/>
        </w:rPr>
      </w:pPr>
      <w:r>
        <w:rPr>
          <w:rFonts w:ascii="宋体" w:hAnsi="宋体" w:cs="宋体"/>
          <w:b/>
          <w:sz w:val="36"/>
          <w:szCs w:val="36"/>
        </w:rPr>
        <w:br w:type="page"/>
      </w:r>
      <w:r>
        <w:rPr>
          <w:rFonts w:hint="eastAsia" w:ascii="宋体" w:hAnsi="宋体"/>
          <w:b/>
          <w:bCs/>
        </w:rPr>
        <w:t>（2）服务质量评定表</w:t>
      </w:r>
    </w:p>
    <w:tbl>
      <w:tblPr>
        <w:tblStyle w:val="17"/>
        <w:tblW w:w="8621" w:type="dxa"/>
        <w:jc w:val="center"/>
        <w:tblLayout w:type="autofit"/>
        <w:tblCellMar>
          <w:top w:w="0" w:type="dxa"/>
          <w:left w:w="57" w:type="dxa"/>
          <w:bottom w:w="0" w:type="dxa"/>
          <w:right w:w="57" w:type="dxa"/>
        </w:tblCellMar>
      </w:tblPr>
      <w:tblGrid>
        <w:gridCol w:w="1074"/>
        <w:gridCol w:w="3379"/>
        <w:gridCol w:w="495"/>
        <w:gridCol w:w="3191"/>
        <w:gridCol w:w="482"/>
      </w:tblGrid>
      <w:tr>
        <w:tblPrEx>
          <w:tblCellMar>
            <w:top w:w="0" w:type="dxa"/>
            <w:left w:w="57" w:type="dxa"/>
            <w:bottom w:w="0" w:type="dxa"/>
            <w:right w:w="57" w:type="dxa"/>
          </w:tblCellMar>
        </w:tblPrEx>
        <w:trPr>
          <w:trHeight w:val="567" w:hRule="atLeast"/>
          <w:jc w:val="center"/>
        </w:trPr>
        <w:tc>
          <w:tcPr>
            <w:tcW w:w="8621" w:type="dxa"/>
            <w:gridSpan w:val="5"/>
            <w:tcBorders>
              <w:top w:val="nil"/>
              <w:left w:val="nil"/>
              <w:bottom w:val="single" w:color="auto" w:sz="4" w:space="0"/>
              <w:right w:val="nil"/>
            </w:tcBorders>
            <w:noWrap/>
            <w:vAlign w:val="center"/>
          </w:tcPr>
          <w:p>
            <w:pPr>
              <w:pStyle w:val="41"/>
              <w:adjustRightInd w:val="0"/>
              <w:snapToGrid w:val="0"/>
              <w:spacing w:before="97" w:line="180" w:lineRule="atLeast"/>
              <w:jc w:val="center"/>
              <w:rPr>
                <w:rFonts w:cs="宋体"/>
                <w:b/>
                <w:bCs/>
                <w:szCs w:val="21"/>
              </w:rPr>
            </w:pPr>
            <w:r>
              <w:rPr>
                <w:rFonts w:hint="eastAsia" w:cs="宋体"/>
                <w:b/>
                <w:bCs/>
                <w:szCs w:val="21"/>
              </w:rPr>
              <w:t>服务质量评定表</w:t>
            </w:r>
          </w:p>
        </w:tc>
      </w:tr>
      <w:tr>
        <w:tblPrEx>
          <w:tblCellMar>
            <w:top w:w="0" w:type="dxa"/>
            <w:left w:w="57" w:type="dxa"/>
            <w:bottom w:w="0" w:type="dxa"/>
            <w:right w:w="57" w:type="dxa"/>
          </w:tblCellMar>
        </w:tblPrEx>
        <w:trPr>
          <w:trHeight w:val="567" w:hRule="atLeast"/>
          <w:jc w:val="center"/>
        </w:trPr>
        <w:tc>
          <w:tcPr>
            <w:tcW w:w="4453" w:type="dxa"/>
            <w:gridSpan w:val="2"/>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b/>
                <w:bCs/>
                <w:color w:val="000000"/>
                <w:szCs w:val="21"/>
              </w:rPr>
            </w:pPr>
            <w:r>
              <w:rPr>
                <w:rFonts w:hint="eastAsia" w:ascii="宋体" w:hAnsi="宋体" w:cs="宋体"/>
                <w:b/>
                <w:bCs/>
                <w:color w:val="000000"/>
                <w:kern w:val="0"/>
                <w:szCs w:val="21"/>
              </w:rPr>
              <w:t>服务类型：技术服务类</w:t>
            </w:r>
          </w:p>
        </w:tc>
        <w:tc>
          <w:tcPr>
            <w:tcW w:w="3686" w:type="dxa"/>
            <w:gridSpan w:val="2"/>
            <w:tcBorders>
              <w:top w:val="nil"/>
              <w:left w:val="nil"/>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b/>
                <w:bCs/>
                <w:color w:val="000000"/>
                <w:szCs w:val="21"/>
              </w:rPr>
            </w:pPr>
            <w:r>
              <w:rPr>
                <w:rFonts w:hint="eastAsia" w:ascii="宋体" w:hAnsi="宋体" w:cs="宋体"/>
                <w:b/>
                <w:bCs/>
                <w:color w:val="000000"/>
                <w:kern w:val="0"/>
                <w:szCs w:val="21"/>
              </w:rPr>
              <w:t>考评时间：</w:t>
            </w:r>
            <w:r>
              <w:rPr>
                <w:rFonts w:hint="eastAsia" w:ascii="宋体" w:hAnsi="宋体" w:cs="宋体"/>
                <w:b/>
                <w:bCs/>
                <w:color w:val="000000"/>
                <w:kern w:val="0"/>
                <w:szCs w:val="21"/>
                <w:u w:val="single"/>
              </w:rPr>
              <w:t xml:space="preserve">      </w:t>
            </w:r>
            <w:r>
              <w:rPr>
                <w:rFonts w:hint="eastAsia" w:ascii="宋体" w:hAnsi="宋体" w:cs="宋体"/>
                <w:b/>
                <w:bCs/>
                <w:color w:val="000000"/>
                <w:kern w:val="0"/>
                <w:szCs w:val="21"/>
              </w:rPr>
              <w:t>年</w:t>
            </w:r>
            <w:r>
              <w:rPr>
                <w:rFonts w:hint="eastAsia" w:ascii="宋体" w:hAnsi="宋体" w:cs="宋体"/>
                <w:b/>
                <w:bCs/>
                <w:color w:val="000000"/>
                <w:kern w:val="0"/>
                <w:szCs w:val="21"/>
                <w:u w:val="single"/>
              </w:rPr>
              <w:t xml:space="preserve">    </w:t>
            </w:r>
            <w:r>
              <w:rPr>
                <w:rFonts w:hint="eastAsia" w:ascii="宋体" w:hAnsi="宋体" w:cs="宋体"/>
                <w:b/>
                <w:bCs/>
                <w:color w:val="000000"/>
                <w:kern w:val="0"/>
                <w:szCs w:val="21"/>
              </w:rPr>
              <w:t>月</w:t>
            </w:r>
            <w:r>
              <w:rPr>
                <w:rFonts w:hint="eastAsia" w:ascii="宋体" w:hAnsi="宋体" w:cs="宋体"/>
                <w:b/>
                <w:bCs/>
                <w:color w:val="000000"/>
                <w:kern w:val="0"/>
                <w:szCs w:val="21"/>
                <w:u w:val="single"/>
              </w:rPr>
              <w:t xml:space="preserve">    </w:t>
            </w:r>
            <w:r>
              <w:rPr>
                <w:rFonts w:hint="eastAsia" w:ascii="宋体" w:hAnsi="宋体" w:cs="宋体"/>
                <w:b/>
                <w:bCs/>
                <w:color w:val="000000"/>
                <w:kern w:val="0"/>
                <w:szCs w:val="21"/>
              </w:rPr>
              <w:t>日</w:t>
            </w:r>
          </w:p>
        </w:tc>
        <w:tc>
          <w:tcPr>
            <w:tcW w:w="482" w:type="dxa"/>
            <w:tcBorders>
              <w:top w:val="nil"/>
              <w:left w:val="nil"/>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color w:val="000000"/>
                <w:szCs w:val="21"/>
              </w:rPr>
            </w:pPr>
          </w:p>
        </w:tc>
      </w:tr>
      <w:tr>
        <w:tblPrEx>
          <w:tblCellMar>
            <w:top w:w="0" w:type="dxa"/>
            <w:left w:w="57" w:type="dxa"/>
            <w:bottom w:w="0" w:type="dxa"/>
            <w:right w:w="57" w:type="dxa"/>
          </w:tblCellMar>
        </w:tblPrEx>
        <w:trPr>
          <w:trHeight w:val="567" w:hRule="atLeast"/>
          <w:jc w:val="center"/>
        </w:trPr>
        <w:tc>
          <w:tcPr>
            <w:tcW w:w="1074" w:type="dxa"/>
            <w:tcBorders>
              <w:top w:val="nil"/>
              <w:left w:val="single" w:color="auto" w:sz="4" w:space="0"/>
              <w:bottom w:val="single" w:color="auto" w:sz="4" w:space="0"/>
              <w:right w:val="single" w:color="auto" w:sz="4" w:space="0"/>
            </w:tcBorders>
            <w:noWrap/>
            <w:vAlign w:val="center"/>
          </w:tcPr>
          <w:p>
            <w:pPr>
              <w:widowControl/>
              <w:adjustRightInd w:val="0"/>
              <w:snapToGrid w:val="0"/>
              <w:spacing w:before="97" w:line="180" w:lineRule="atLeast"/>
              <w:jc w:val="center"/>
              <w:rPr>
                <w:rFonts w:ascii="宋体" w:hAnsi="宋体" w:cs="宋体"/>
                <w:b/>
                <w:bCs/>
                <w:color w:val="000000"/>
                <w:szCs w:val="21"/>
              </w:rPr>
            </w:pPr>
            <w:r>
              <w:rPr>
                <w:rFonts w:hint="eastAsia" w:ascii="宋体" w:hAnsi="宋体" w:cs="宋体"/>
                <w:b/>
                <w:bCs/>
                <w:color w:val="000000"/>
                <w:kern w:val="0"/>
                <w:szCs w:val="21"/>
              </w:rPr>
              <w:t>考核项目</w:t>
            </w:r>
          </w:p>
        </w:tc>
        <w:tc>
          <w:tcPr>
            <w:tcW w:w="3379" w:type="dxa"/>
            <w:tcBorders>
              <w:top w:val="nil"/>
              <w:left w:val="nil"/>
              <w:bottom w:val="single" w:color="auto" w:sz="4" w:space="0"/>
              <w:right w:val="single" w:color="auto" w:sz="4" w:space="0"/>
            </w:tcBorders>
            <w:noWrap/>
            <w:vAlign w:val="center"/>
          </w:tcPr>
          <w:p>
            <w:pPr>
              <w:widowControl/>
              <w:adjustRightInd w:val="0"/>
              <w:snapToGrid w:val="0"/>
              <w:spacing w:before="97" w:line="180" w:lineRule="atLeast"/>
              <w:jc w:val="center"/>
              <w:rPr>
                <w:rFonts w:ascii="宋体" w:hAnsi="宋体" w:cs="宋体"/>
                <w:b/>
                <w:bCs/>
                <w:color w:val="000000"/>
                <w:szCs w:val="21"/>
              </w:rPr>
            </w:pPr>
            <w:r>
              <w:rPr>
                <w:rFonts w:hint="eastAsia" w:ascii="宋体" w:hAnsi="宋体" w:cs="宋体"/>
                <w:b/>
                <w:bCs/>
                <w:color w:val="000000"/>
                <w:kern w:val="0"/>
                <w:szCs w:val="21"/>
              </w:rPr>
              <w:t>考核内容</w:t>
            </w:r>
          </w:p>
        </w:tc>
        <w:tc>
          <w:tcPr>
            <w:tcW w:w="495" w:type="dxa"/>
            <w:tcBorders>
              <w:top w:val="nil"/>
              <w:left w:val="nil"/>
              <w:bottom w:val="single" w:color="auto" w:sz="4" w:space="0"/>
              <w:right w:val="single" w:color="auto" w:sz="4" w:space="0"/>
            </w:tcBorders>
            <w:noWrap/>
            <w:vAlign w:val="center"/>
          </w:tcPr>
          <w:p>
            <w:pPr>
              <w:widowControl/>
              <w:adjustRightInd w:val="0"/>
              <w:snapToGrid w:val="0"/>
              <w:spacing w:before="97" w:line="180" w:lineRule="atLeast"/>
              <w:jc w:val="center"/>
              <w:rPr>
                <w:rFonts w:ascii="宋体" w:hAnsi="宋体" w:cs="宋体"/>
                <w:b/>
                <w:bCs/>
                <w:color w:val="000000"/>
                <w:szCs w:val="21"/>
              </w:rPr>
            </w:pPr>
            <w:r>
              <w:rPr>
                <w:rFonts w:hint="eastAsia" w:ascii="宋体" w:hAnsi="宋体" w:cs="宋体"/>
                <w:b/>
                <w:bCs/>
                <w:color w:val="000000"/>
                <w:kern w:val="0"/>
                <w:szCs w:val="21"/>
              </w:rPr>
              <w:t>分值</w:t>
            </w:r>
          </w:p>
        </w:tc>
        <w:tc>
          <w:tcPr>
            <w:tcW w:w="3191" w:type="dxa"/>
            <w:tcBorders>
              <w:top w:val="nil"/>
              <w:left w:val="nil"/>
              <w:bottom w:val="single" w:color="auto" w:sz="4" w:space="0"/>
              <w:right w:val="single" w:color="auto" w:sz="4" w:space="0"/>
            </w:tcBorders>
            <w:vAlign w:val="center"/>
          </w:tcPr>
          <w:p>
            <w:pPr>
              <w:widowControl/>
              <w:adjustRightInd w:val="0"/>
              <w:snapToGrid w:val="0"/>
              <w:spacing w:before="97" w:line="180" w:lineRule="atLeast"/>
              <w:jc w:val="center"/>
              <w:rPr>
                <w:rFonts w:ascii="宋体" w:hAnsi="宋体" w:cs="宋体"/>
                <w:b/>
                <w:bCs/>
                <w:color w:val="000000"/>
                <w:szCs w:val="21"/>
              </w:rPr>
            </w:pPr>
            <w:r>
              <w:rPr>
                <w:rFonts w:hint="eastAsia" w:ascii="宋体" w:hAnsi="宋体" w:cs="宋体"/>
                <w:b/>
                <w:bCs/>
                <w:color w:val="000000"/>
                <w:kern w:val="0"/>
                <w:szCs w:val="21"/>
              </w:rPr>
              <w:t>评分标准</w:t>
            </w:r>
          </w:p>
        </w:tc>
        <w:tc>
          <w:tcPr>
            <w:tcW w:w="482" w:type="dxa"/>
            <w:tcBorders>
              <w:top w:val="nil"/>
              <w:left w:val="nil"/>
              <w:bottom w:val="single" w:color="auto" w:sz="4" w:space="0"/>
              <w:right w:val="single" w:color="auto" w:sz="4" w:space="0"/>
            </w:tcBorders>
            <w:noWrap/>
            <w:vAlign w:val="center"/>
          </w:tcPr>
          <w:p>
            <w:pPr>
              <w:widowControl/>
              <w:adjustRightInd w:val="0"/>
              <w:snapToGrid w:val="0"/>
              <w:spacing w:before="97" w:line="180" w:lineRule="atLeast"/>
              <w:jc w:val="center"/>
              <w:rPr>
                <w:rFonts w:ascii="宋体" w:hAnsi="宋体" w:cs="宋体"/>
                <w:b/>
                <w:bCs/>
                <w:color w:val="000000"/>
                <w:szCs w:val="21"/>
              </w:rPr>
            </w:pPr>
            <w:r>
              <w:rPr>
                <w:rFonts w:hint="eastAsia" w:ascii="宋体" w:hAnsi="宋体" w:cs="宋体"/>
                <w:b/>
                <w:bCs/>
                <w:color w:val="000000"/>
                <w:kern w:val="0"/>
                <w:szCs w:val="21"/>
              </w:rPr>
              <w:t>得分</w:t>
            </w:r>
          </w:p>
        </w:tc>
      </w:tr>
      <w:tr>
        <w:tblPrEx>
          <w:tblCellMar>
            <w:top w:w="0" w:type="dxa"/>
            <w:left w:w="57" w:type="dxa"/>
            <w:bottom w:w="0" w:type="dxa"/>
            <w:right w:w="57" w:type="dxa"/>
          </w:tblCellMar>
        </w:tblPrEx>
        <w:trPr>
          <w:trHeight w:val="567" w:hRule="atLeast"/>
          <w:jc w:val="center"/>
        </w:trPr>
        <w:tc>
          <w:tcPr>
            <w:tcW w:w="1074" w:type="dxa"/>
            <w:vMerge w:val="restart"/>
            <w:tcBorders>
              <w:top w:val="nil"/>
              <w:left w:val="single" w:color="auto" w:sz="4" w:space="0"/>
              <w:bottom w:val="single" w:color="auto" w:sz="4" w:space="0"/>
              <w:right w:val="single" w:color="auto" w:sz="4" w:space="0"/>
            </w:tcBorders>
            <w:vAlign w:val="center"/>
          </w:tcPr>
          <w:p>
            <w:pPr>
              <w:widowControl/>
              <w:adjustRightInd w:val="0"/>
              <w:snapToGrid w:val="0"/>
              <w:spacing w:before="97" w:line="180" w:lineRule="atLeast"/>
              <w:jc w:val="center"/>
              <w:rPr>
                <w:rFonts w:ascii="宋体" w:hAnsi="宋体" w:cs="宋体"/>
                <w:color w:val="000000"/>
                <w:szCs w:val="21"/>
              </w:rPr>
            </w:pPr>
            <w:r>
              <w:rPr>
                <w:rFonts w:hint="eastAsia" w:ascii="宋体" w:hAnsi="宋体" w:cs="宋体"/>
                <w:color w:val="000000"/>
                <w:kern w:val="0"/>
                <w:szCs w:val="21"/>
              </w:rPr>
              <w:t>思想品德与工作态度</w:t>
            </w:r>
            <w:r>
              <w:rPr>
                <w:rFonts w:hint="eastAsia" w:ascii="宋体" w:hAnsi="宋体" w:cs="宋体"/>
                <w:color w:val="000000"/>
                <w:kern w:val="0"/>
                <w:szCs w:val="21"/>
              </w:rPr>
              <w:br w:type="textWrapping"/>
            </w:r>
            <w:r>
              <w:rPr>
                <w:rFonts w:hint="eastAsia" w:ascii="宋体" w:hAnsi="宋体" w:cs="宋体"/>
                <w:color w:val="000000"/>
                <w:kern w:val="0"/>
                <w:szCs w:val="21"/>
              </w:rPr>
              <w:t>(10分)</w:t>
            </w:r>
          </w:p>
        </w:tc>
        <w:tc>
          <w:tcPr>
            <w:tcW w:w="3379" w:type="dxa"/>
            <w:tcBorders>
              <w:top w:val="nil"/>
              <w:left w:val="nil"/>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color w:val="000000"/>
                <w:szCs w:val="21"/>
              </w:rPr>
            </w:pPr>
            <w:r>
              <w:rPr>
                <w:rFonts w:hint="eastAsia" w:ascii="宋体" w:hAnsi="宋体" w:cs="宋体"/>
                <w:color w:val="000000"/>
                <w:kern w:val="0"/>
                <w:szCs w:val="21"/>
              </w:rPr>
              <w:t>遵守医院规定，无严重违规事件</w:t>
            </w:r>
          </w:p>
        </w:tc>
        <w:tc>
          <w:tcPr>
            <w:tcW w:w="495" w:type="dxa"/>
            <w:tcBorders>
              <w:top w:val="nil"/>
              <w:left w:val="nil"/>
              <w:bottom w:val="single" w:color="auto" w:sz="4" w:space="0"/>
              <w:right w:val="single" w:color="auto" w:sz="4" w:space="0"/>
            </w:tcBorders>
            <w:noWrap/>
            <w:vAlign w:val="center"/>
          </w:tcPr>
          <w:p>
            <w:pPr>
              <w:widowControl/>
              <w:adjustRightInd w:val="0"/>
              <w:snapToGrid w:val="0"/>
              <w:spacing w:before="97" w:line="180" w:lineRule="atLeast"/>
              <w:jc w:val="center"/>
              <w:rPr>
                <w:rFonts w:ascii="宋体" w:hAnsi="宋体" w:cs="宋体"/>
                <w:color w:val="000000"/>
                <w:szCs w:val="21"/>
              </w:rPr>
            </w:pPr>
            <w:r>
              <w:rPr>
                <w:rFonts w:hint="eastAsia" w:ascii="宋体" w:hAnsi="宋体" w:cs="宋体"/>
                <w:color w:val="000000"/>
                <w:kern w:val="0"/>
                <w:szCs w:val="21"/>
              </w:rPr>
              <w:t>4</w:t>
            </w:r>
          </w:p>
        </w:tc>
        <w:tc>
          <w:tcPr>
            <w:tcW w:w="3191" w:type="dxa"/>
            <w:tcBorders>
              <w:top w:val="nil"/>
              <w:left w:val="nil"/>
              <w:bottom w:val="single" w:color="auto" w:sz="4" w:space="0"/>
              <w:right w:val="single" w:color="auto" w:sz="4" w:space="0"/>
            </w:tcBorders>
            <w:vAlign w:val="center"/>
          </w:tcPr>
          <w:p>
            <w:pPr>
              <w:widowControl/>
              <w:adjustRightInd w:val="0"/>
              <w:snapToGrid w:val="0"/>
              <w:spacing w:before="97" w:line="180" w:lineRule="atLeast"/>
              <w:jc w:val="left"/>
              <w:rPr>
                <w:rFonts w:ascii="宋体" w:hAnsi="宋体" w:cs="宋体"/>
                <w:color w:val="000000"/>
                <w:szCs w:val="21"/>
              </w:rPr>
            </w:pPr>
            <w:r>
              <w:rPr>
                <w:rFonts w:hint="eastAsia" w:ascii="宋体" w:hAnsi="宋体" w:cs="宋体"/>
                <w:color w:val="000000"/>
                <w:kern w:val="0"/>
                <w:szCs w:val="21"/>
              </w:rPr>
              <w:t>一般违规扣1分/次,严重违规扣4分/次</w:t>
            </w:r>
          </w:p>
        </w:tc>
        <w:tc>
          <w:tcPr>
            <w:tcW w:w="482" w:type="dxa"/>
            <w:tcBorders>
              <w:top w:val="nil"/>
              <w:left w:val="nil"/>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color w:val="000000"/>
                <w:szCs w:val="21"/>
              </w:rPr>
            </w:pPr>
          </w:p>
        </w:tc>
      </w:tr>
      <w:tr>
        <w:tblPrEx>
          <w:tblCellMar>
            <w:top w:w="0" w:type="dxa"/>
            <w:left w:w="57" w:type="dxa"/>
            <w:bottom w:w="0" w:type="dxa"/>
            <w:right w:w="57" w:type="dxa"/>
          </w:tblCellMar>
        </w:tblPrEx>
        <w:trPr>
          <w:trHeight w:val="567" w:hRule="atLeast"/>
          <w:jc w:val="center"/>
        </w:trPr>
        <w:tc>
          <w:tcPr>
            <w:tcW w:w="1074" w:type="dxa"/>
            <w:vMerge w:val="continue"/>
            <w:tcBorders>
              <w:top w:val="nil"/>
              <w:left w:val="single" w:color="auto" w:sz="4" w:space="0"/>
              <w:bottom w:val="single" w:color="auto" w:sz="4" w:space="0"/>
              <w:right w:val="single" w:color="auto" w:sz="4" w:space="0"/>
            </w:tcBorders>
            <w:vAlign w:val="center"/>
          </w:tcPr>
          <w:p>
            <w:pPr>
              <w:widowControl/>
              <w:adjustRightInd w:val="0"/>
              <w:snapToGrid w:val="0"/>
              <w:spacing w:before="97" w:line="180" w:lineRule="atLeast"/>
              <w:jc w:val="left"/>
              <w:rPr>
                <w:rFonts w:ascii="宋体" w:hAnsi="宋体" w:cs="宋体"/>
                <w:color w:val="000000"/>
                <w:szCs w:val="21"/>
              </w:rPr>
            </w:pPr>
          </w:p>
        </w:tc>
        <w:tc>
          <w:tcPr>
            <w:tcW w:w="3379" w:type="dxa"/>
            <w:tcBorders>
              <w:top w:val="nil"/>
              <w:left w:val="nil"/>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color w:val="000000"/>
                <w:szCs w:val="21"/>
              </w:rPr>
            </w:pPr>
            <w:r>
              <w:rPr>
                <w:rFonts w:hint="eastAsia" w:ascii="宋体" w:hAnsi="宋体" w:cs="宋体"/>
                <w:color w:val="000000"/>
                <w:kern w:val="0"/>
                <w:szCs w:val="21"/>
              </w:rPr>
              <w:t>服从医院安排，工作积极负责，不拖延、不回避、不推诿</w:t>
            </w:r>
          </w:p>
        </w:tc>
        <w:tc>
          <w:tcPr>
            <w:tcW w:w="495" w:type="dxa"/>
            <w:tcBorders>
              <w:top w:val="nil"/>
              <w:left w:val="nil"/>
              <w:bottom w:val="single" w:color="auto" w:sz="4" w:space="0"/>
              <w:right w:val="single" w:color="auto" w:sz="4" w:space="0"/>
            </w:tcBorders>
            <w:noWrap/>
            <w:vAlign w:val="center"/>
          </w:tcPr>
          <w:p>
            <w:pPr>
              <w:widowControl/>
              <w:adjustRightInd w:val="0"/>
              <w:snapToGrid w:val="0"/>
              <w:spacing w:before="97" w:line="180" w:lineRule="atLeast"/>
              <w:jc w:val="center"/>
              <w:rPr>
                <w:rFonts w:ascii="宋体" w:hAnsi="宋体" w:cs="宋体"/>
                <w:color w:val="000000"/>
                <w:szCs w:val="21"/>
              </w:rPr>
            </w:pPr>
            <w:r>
              <w:rPr>
                <w:rFonts w:hint="eastAsia" w:ascii="宋体" w:hAnsi="宋体" w:cs="宋体"/>
                <w:color w:val="000000"/>
                <w:kern w:val="0"/>
                <w:szCs w:val="21"/>
              </w:rPr>
              <w:t>3</w:t>
            </w:r>
          </w:p>
        </w:tc>
        <w:tc>
          <w:tcPr>
            <w:tcW w:w="3191" w:type="dxa"/>
            <w:tcBorders>
              <w:top w:val="nil"/>
              <w:left w:val="nil"/>
              <w:bottom w:val="single" w:color="auto" w:sz="4" w:space="0"/>
              <w:right w:val="single" w:color="auto" w:sz="4" w:space="0"/>
            </w:tcBorders>
            <w:vAlign w:val="center"/>
          </w:tcPr>
          <w:p>
            <w:pPr>
              <w:widowControl/>
              <w:adjustRightInd w:val="0"/>
              <w:snapToGrid w:val="0"/>
              <w:spacing w:before="97" w:line="180" w:lineRule="atLeast"/>
              <w:jc w:val="left"/>
              <w:rPr>
                <w:rFonts w:ascii="宋体" w:hAnsi="宋体" w:cs="宋体"/>
                <w:color w:val="000000"/>
                <w:szCs w:val="21"/>
              </w:rPr>
            </w:pPr>
            <w:r>
              <w:rPr>
                <w:rFonts w:hint="eastAsia" w:ascii="宋体" w:hAnsi="宋体" w:cs="宋体"/>
                <w:color w:val="000000"/>
                <w:kern w:val="0"/>
                <w:szCs w:val="21"/>
              </w:rPr>
              <w:t>出现拖延、回避、推诿情况扣1分/次</w:t>
            </w:r>
          </w:p>
        </w:tc>
        <w:tc>
          <w:tcPr>
            <w:tcW w:w="482" w:type="dxa"/>
            <w:tcBorders>
              <w:top w:val="nil"/>
              <w:left w:val="nil"/>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color w:val="000000"/>
                <w:szCs w:val="21"/>
              </w:rPr>
            </w:pPr>
          </w:p>
        </w:tc>
      </w:tr>
      <w:tr>
        <w:tblPrEx>
          <w:tblCellMar>
            <w:top w:w="0" w:type="dxa"/>
            <w:left w:w="57" w:type="dxa"/>
            <w:bottom w:w="0" w:type="dxa"/>
            <w:right w:w="57" w:type="dxa"/>
          </w:tblCellMar>
        </w:tblPrEx>
        <w:trPr>
          <w:trHeight w:val="567" w:hRule="atLeast"/>
          <w:jc w:val="center"/>
        </w:trPr>
        <w:tc>
          <w:tcPr>
            <w:tcW w:w="1074" w:type="dxa"/>
            <w:vMerge w:val="continue"/>
            <w:tcBorders>
              <w:top w:val="nil"/>
              <w:left w:val="single" w:color="auto" w:sz="4" w:space="0"/>
              <w:bottom w:val="single" w:color="auto" w:sz="4" w:space="0"/>
              <w:right w:val="single" w:color="auto" w:sz="4" w:space="0"/>
            </w:tcBorders>
            <w:vAlign w:val="center"/>
          </w:tcPr>
          <w:p>
            <w:pPr>
              <w:widowControl/>
              <w:adjustRightInd w:val="0"/>
              <w:snapToGrid w:val="0"/>
              <w:spacing w:before="97" w:line="180" w:lineRule="atLeast"/>
              <w:jc w:val="left"/>
              <w:rPr>
                <w:rFonts w:ascii="宋体" w:hAnsi="宋体" w:cs="宋体"/>
                <w:color w:val="000000"/>
                <w:szCs w:val="21"/>
              </w:rPr>
            </w:pPr>
          </w:p>
        </w:tc>
        <w:tc>
          <w:tcPr>
            <w:tcW w:w="3379" w:type="dxa"/>
            <w:tcBorders>
              <w:top w:val="nil"/>
              <w:left w:val="nil"/>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color w:val="000000"/>
                <w:szCs w:val="21"/>
              </w:rPr>
            </w:pPr>
            <w:r>
              <w:rPr>
                <w:rFonts w:hint="eastAsia" w:ascii="宋体" w:hAnsi="宋体" w:cs="宋体"/>
                <w:color w:val="000000"/>
                <w:kern w:val="0"/>
                <w:szCs w:val="21"/>
              </w:rPr>
              <w:t>增强服务意识，无不良投诉意见</w:t>
            </w:r>
          </w:p>
        </w:tc>
        <w:tc>
          <w:tcPr>
            <w:tcW w:w="495" w:type="dxa"/>
            <w:tcBorders>
              <w:top w:val="nil"/>
              <w:left w:val="nil"/>
              <w:bottom w:val="single" w:color="auto" w:sz="4" w:space="0"/>
              <w:right w:val="single" w:color="auto" w:sz="4" w:space="0"/>
            </w:tcBorders>
            <w:noWrap/>
            <w:vAlign w:val="center"/>
          </w:tcPr>
          <w:p>
            <w:pPr>
              <w:widowControl/>
              <w:adjustRightInd w:val="0"/>
              <w:snapToGrid w:val="0"/>
              <w:spacing w:before="97" w:line="180" w:lineRule="atLeast"/>
              <w:jc w:val="center"/>
              <w:rPr>
                <w:rFonts w:ascii="宋体" w:hAnsi="宋体" w:cs="宋体"/>
                <w:color w:val="000000"/>
                <w:szCs w:val="21"/>
              </w:rPr>
            </w:pPr>
            <w:r>
              <w:rPr>
                <w:rFonts w:hint="eastAsia" w:ascii="宋体" w:hAnsi="宋体" w:cs="宋体"/>
                <w:color w:val="000000"/>
                <w:kern w:val="0"/>
                <w:szCs w:val="21"/>
              </w:rPr>
              <w:t>3</w:t>
            </w:r>
          </w:p>
        </w:tc>
        <w:tc>
          <w:tcPr>
            <w:tcW w:w="3191" w:type="dxa"/>
            <w:tcBorders>
              <w:top w:val="nil"/>
              <w:left w:val="nil"/>
              <w:bottom w:val="single" w:color="auto" w:sz="4" w:space="0"/>
              <w:right w:val="single" w:color="auto" w:sz="4" w:space="0"/>
            </w:tcBorders>
            <w:vAlign w:val="center"/>
          </w:tcPr>
          <w:p>
            <w:pPr>
              <w:widowControl/>
              <w:adjustRightInd w:val="0"/>
              <w:snapToGrid w:val="0"/>
              <w:spacing w:before="97" w:line="180" w:lineRule="atLeast"/>
              <w:jc w:val="left"/>
              <w:rPr>
                <w:rFonts w:ascii="宋体" w:hAnsi="宋体" w:cs="宋体"/>
                <w:color w:val="000000"/>
                <w:szCs w:val="21"/>
              </w:rPr>
            </w:pPr>
            <w:r>
              <w:rPr>
                <w:rFonts w:hint="eastAsia" w:ascii="宋体" w:hAnsi="宋体" w:cs="宋体"/>
                <w:color w:val="000000"/>
                <w:kern w:val="0"/>
                <w:szCs w:val="21"/>
              </w:rPr>
              <w:t>出现一次投诉扣1分</w:t>
            </w:r>
          </w:p>
        </w:tc>
        <w:tc>
          <w:tcPr>
            <w:tcW w:w="482" w:type="dxa"/>
            <w:tcBorders>
              <w:top w:val="nil"/>
              <w:left w:val="nil"/>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color w:val="000000"/>
                <w:szCs w:val="21"/>
              </w:rPr>
            </w:pPr>
          </w:p>
        </w:tc>
      </w:tr>
      <w:tr>
        <w:tblPrEx>
          <w:tblCellMar>
            <w:top w:w="0" w:type="dxa"/>
            <w:left w:w="57" w:type="dxa"/>
            <w:bottom w:w="0" w:type="dxa"/>
            <w:right w:w="57" w:type="dxa"/>
          </w:tblCellMar>
        </w:tblPrEx>
        <w:trPr>
          <w:trHeight w:val="567" w:hRule="atLeast"/>
          <w:jc w:val="center"/>
        </w:trPr>
        <w:tc>
          <w:tcPr>
            <w:tcW w:w="1074" w:type="dxa"/>
            <w:vMerge w:val="restart"/>
            <w:tcBorders>
              <w:top w:val="nil"/>
              <w:left w:val="single" w:color="auto" w:sz="4" w:space="0"/>
              <w:bottom w:val="single" w:color="auto" w:sz="4" w:space="0"/>
              <w:right w:val="single" w:color="auto" w:sz="4" w:space="0"/>
            </w:tcBorders>
            <w:noWrap/>
            <w:vAlign w:val="center"/>
          </w:tcPr>
          <w:p>
            <w:pPr>
              <w:widowControl/>
              <w:adjustRightInd w:val="0"/>
              <w:snapToGrid w:val="0"/>
              <w:spacing w:before="97" w:line="180" w:lineRule="atLeast"/>
              <w:jc w:val="center"/>
              <w:rPr>
                <w:rFonts w:ascii="宋体" w:hAnsi="宋体" w:cs="宋体"/>
                <w:color w:val="000000"/>
                <w:szCs w:val="21"/>
              </w:rPr>
            </w:pPr>
            <w:r>
              <w:rPr>
                <w:rFonts w:hint="eastAsia" w:ascii="宋体" w:hAnsi="宋体" w:cs="宋体"/>
                <w:color w:val="000000"/>
                <w:kern w:val="0"/>
                <w:szCs w:val="21"/>
              </w:rPr>
              <w:t>客观性评分</w:t>
            </w:r>
          </w:p>
          <w:p>
            <w:pPr>
              <w:widowControl/>
              <w:adjustRightInd w:val="0"/>
              <w:snapToGrid w:val="0"/>
              <w:spacing w:before="97" w:line="180" w:lineRule="atLeast"/>
              <w:jc w:val="center"/>
              <w:rPr>
                <w:rFonts w:ascii="宋体" w:hAnsi="宋体" w:cs="宋体"/>
                <w:color w:val="000000"/>
                <w:szCs w:val="21"/>
              </w:rPr>
            </w:pPr>
            <w:r>
              <w:rPr>
                <w:rFonts w:hint="eastAsia" w:ascii="宋体" w:hAnsi="宋体" w:cs="宋体"/>
                <w:color w:val="000000"/>
                <w:kern w:val="0"/>
                <w:szCs w:val="21"/>
              </w:rPr>
              <w:t>(20分)</w:t>
            </w:r>
          </w:p>
        </w:tc>
        <w:tc>
          <w:tcPr>
            <w:tcW w:w="3379" w:type="dxa"/>
            <w:tcBorders>
              <w:top w:val="nil"/>
              <w:left w:val="nil"/>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color w:val="000000"/>
                <w:szCs w:val="21"/>
              </w:rPr>
            </w:pPr>
            <w:r>
              <w:rPr>
                <w:rFonts w:hint="eastAsia" w:ascii="宋体" w:hAnsi="宋体" w:cs="宋体"/>
                <w:color w:val="000000"/>
                <w:kern w:val="0"/>
                <w:szCs w:val="21"/>
              </w:rPr>
              <w:t>在本单位服务年限</w:t>
            </w:r>
          </w:p>
        </w:tc>
        <w:tc>
          <w:tcPr>
            <w:tcW w:w="495" w:type="dxa"/>
            <w:tcBorders>
              <w:top w:val="nil"/>
              <w:left w:val="nil"/>
              <w:bottom w:val="single" w:color="auto" w:sz="4" w:space="0"/>
              <w:right w:val="single" w:color="auto" w:sz="4" w:space="0"/>
            </w:tcBorders>
            <w:noWrap/>
            <w:vAlign w:val="center"/>
          </w:tcPr>
          <w:p>
            <w:pPr>
              <w:widowControl/>
              <w:adjustRightInd w:val="0"/>
              <w:snapToGrid w:val="0"/>
              <w:spacing w:before="97" w:line="180" w:lineRule="atLeast"/>
              <w:jc w:val="center"/>
              <w:rPr>
                <w:rFonts w:ascii="宋体" w:hAnsi="宋体" w:cs="宋体"/>
                <w:color w:val="000000"/>
                <w:szCs w:val="21"/>
              </w:rPr>
            </w:pPr>
            <w:r>
              <w:rPr>
                <w:rFonts w:hint="eastAsia" w:ascii="宋体" w:hAnsi="宋体" w:cs="宋体"/>
                <w:color w:val="000000"/>
                <w:kern w:val="0"/>
                <w:szCs w:val="21"/>
              </w:rPr>
              <w:t>5</w:t>
            </w:r>
          </w:p>
        </w:tc>
        <w:tc>
          <w:tcPr>
            <w:tcW w:w="3191" w:type="dxa"/>
            <w:tcBorders>
              <w:top w:val="nil"/>
              <w:left w:val="nil"/>
              <w:bottom w:val="single" w:color="auto" w:sz="4" w:space="0"/>
              <w:right w:val="single" w:color="auto" w:sz="4" w:space="0"/>
            </w:tcBorders>
            <w:vAlign w:val="center"/>
          </w:tcPr>
          <w:p>
            <w:pPr>
              <w:widowControl/>
              <w:adjustRightInd w:val="0"/>
              <w:snapToGrid w:val="0"/>
              <w:spacing w:before="97" w:line="180" w:lineRule="atLeast"/>
              <w:jc w:val="left"/>
              <w:rPr>
                <w:rFonts w:ascii="宋体" w:hAnsi="宋体" w:cs="宋体"/>
                <w:color w:val="000000"/>
                <w:szCs w:val="21"/>
              </w:rPr>
            </w:pPr>
            <w:r>
              <w:rPr>
                <w:rFonts w:hint="eastAsia" w:ascii="宋体" w:hAnsi="宋体" w:cs="宋体"/>
                <w:color w:val="000000"/>
                <w:kern w:val="0"/>
                <w:szCs w:val="21"/>
              </w:rPr>
              <w:t>按实际服务年限，每年加1分（未满1年按1年计算）</w:t>
            </w:r>
          </w:p>
        </w:tc>
        <w:tc>
          <w:tcPr>
            <w:tcW w:w="482" w:type="dxa"/>
            <w:tcBorders>
              <w:top w:val="nil"/>
              <w:left w:val="nil"/>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color w:val="000000"/>
                <w:szCs w:val="21"/>
              </w:rPr>
            </w:pPr>
          </w:p>
        </w:tc>
      </w:tr>
      <w:tr>
        <w:tblPrEx>
          <w:tblCellMar>
            <w:top w:w="0" w:type="dxa"/>
            <w:left w:w="57" w:type="dxa"/>
            <w:bottom w:w="0" w:type="dxa"/>
            <w:right w:w="57" w:type="dxa"/>
          </w:tblCellMar>
        </w:tblPrEx>
        <w:trPr>
          <w:trHeight w:val="567" w:hRule="atLeast"/>
          <w:jc w:val="center"/>
        </w:trPr>
        <w:tc>
          <w:tcPr>
            <w:tcW w:w="1074" w:type="dxa"/>
            <w:vMerge w:val="continue"/>
            <w:tcBorders>
              <w:top w:val="nil"/>
              <w:left w:val="single" w:color="auto" w:sz="4" w:space="0"/>
              <w:bottom w:val="single" w:color="auto" w:sz="4" w:space="0"/>
              <w:right w:val="single" w:color="auto" w:sz="4" w:space="0"/>
            </w:tcBorders>
            <w:vAlign w:val="center"/>
          </w:tcPr>
          <w:p>
            <w:pPr>
              <w:widowControl/>
              <w:adjustRightInd w:val="0"/>
              <w:snapToGrid w:val="0"/>
              <w:spacing w:before="97" w:line="180" w:lineRule="atLeast"/>
              <w:jc w:val="left"/>
              <w:rPr>
                <w:rFonts w:ascii="宋体" w:hAnsi="宋体" w:cs="宋体"/>
                <w:color w:val="000000"/>
                <w:szCs w:val="21"/>
              </w:rPr>
            </w:pPr>
          </w:p>
        </w:tc>
        <w:tc>
          <w:tcPr>
            <w:tcW w:w="3379" w:type="dxa"/>
            <w:tcBorders>
              <w:top w:val="nil"/>
              <w:left w:val="nil"/>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color w:val="000000"/>
                <w:szCs w:val="21"/>
              </w:rPr>
            </w:pPr>
            <w:r>
              <w:rPr>
                <w:rFonts w:hint="eastAsia" w:ascii="宋体" w:hAnsi="宋体" w:cs="宋体"/>
                <w:color w:val="000000"/>
                <w:kern w:val="0"/>
                <w:szCs w:val="21"/>
              </w:rPr>
              <w:t>派驻员工学历、专业技术职称等级</w:t>
            </w:r>
          </w:p>
        </w:tc>
        <w:tc>
          <w:tcPr>
            <w:tcW w:w="495" w:type="dxa"/>
            <w:tcBorders>
              <w:top w:val="nil"/>
              <w:left w:val="nil"/>
              <w:bottom w:val="single" w:color="auto" w:sz="4" w:space="0"/>
              <w:right w:val="single" w:color="auto" w:sz="4" w:space="0"/>
            </w:tcBorders>
            <w:noWrap/>
            <w:vAlign w:val="center"/>
          </w:tcPr>
          <w:p>
            <w:pPr>
              <w:widowControl/>
              <w:adjustRightInd w:val="0"/>
              <w:snapToGrid w:val="0"/>
              <w:spacing w:before="97" w:line="180" w:lineRule="atLeast"/>
              <w:jc w:val="center"/>
              <w:rPr>
                <w:rFonts w:ascii="宋体" w:hAnsi="宋体" w:cs="宋体"/>
                <w:color w:val="000000"/>
                <w:szCs w:val="21"/>
              </w:rPr>
            </w:pPr>
            <w:r>
              <w:rPr>
                <w:rFonts w:hint="eastAsia" w:ascii="宋体" w:hAnsi="宋体" w:cs="宋体"/>
                <w:color w:val="000000"/>
                <w:kern w:val="0"/>
                <w:szCs w:val="21"/>
              </w:rPr>
              <w:t>5</w:t>
            </w:r>
          </w:p>
        </w:tc>
        <w:tc>
          <w:tcPr>
            <w:tcW w:w="3191" w:type="dxa"/>
            <w:tcBorders>
              <w:top w:val="nil"/>
              <w:left w:val="nil"/>
              <w:bottom w:val="single" w:color="auto" w:sz="4" w:space="0"/>
              <w:right w:val="single" w:color="auto" w:sz="4" w:space="0"/>
            </w:tcBorders>
            <w:vAlign w:val="center"/>
          </w:tcPr>
          <w:p>
            <w:pPr>
              <w:widowControl/>
              <w:adjustRightInd w:val="0"/>
              <w:snapToGrid w:val="0"/>
              <w:spacing w:before="97" w:line="180" w:lineRule="atLeast"/>
              <w:jc w:val="left"/>
              <w:rPr>
                <w:rFonts w:ascii="宋体" w:hAnsi="宋体" w:cs="宋体"/>
                <w:color w:val="000000"/>
                <w:szCs w:val="21"/>
              </w:rPr>
            </w:pPr>
            <w:r>
              <w:rPr>
                <w:rFonts w:hint="eastAsia" w:ascii="宋体" w:hAnsi="宋体" w:cs="宋体"/>
                <w:color w:val="000000"/>
                <w:kern w:val="0"/>
                <w:szCs w:val="21"/>
              </w:rPr>
              <w:t>硕士/博士/高级4-5分，大专/本科/中级3-4分，中级以下1-3分</w:t>
            </w:r>
          </w:p>
        </w:tc>
        <w:tc>
          <w:tcPr>
            <w:tcW w:w="482" w:type="dxa"/>
            <w:tcBorders>
              <w:top w:val="nil"/>
              <w:left w:val="nil"/>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color w:val="000000"/>
                <w:szCs w:val="21"/>
              </w:rPr>
            </w:pPr>
          </w:p>
        </w:tc>
      </w:tr>
      <w:tr>
        <w:tblPrEx>
          <w:tblCellMar>
            <w:top w:w="0" w:type="dxa"/>
            <w:left w:w="57" w:type="dxa"/>
            <w:bottom w:w="0" w:type="dxa"/>
            <w:right w:w="57" w:type="dxa"/>
          </w:tblCellMar>
        </w:tblPrEx>
        <w:trPr>
          <w:trHeight w:val="567" w:hRule="atLeast"/>
          <w:jc w:val="center"/>
        </w:trPr>
        <w:tc>
          <w:tcPr>
            <w:tcW w:w="1074" w:type="dxa"/>
            <w:vMerge w:val="continue"/>
            <w:tcBorders>
              <w:top w:val="nil"/>
              <w:left w:val="single" w:color="auto" w:sz="4" w:space="0"/>
              <w:bottom w:val="single" w:color="auto" w:sz="4" w:space="0"/>
              <w:right w:val="single" w:color="auto" w:sz="4" w:space="0"/>
            </w:tcBorders>
            <w:vAlign w:val="center"/>
          </w:tcPr>
          <w:p>
            <w:pPr>
              <w:widowControl/>
              <w:adjustRightInd w:val="0"/>
              <w:snapToGrid w:val="0"/>
              <w:spacing w:before="97" w:line="180" w:lineRule="atLeast"/>
              <w:jc w:val="left"/>
              <w:rPr>
                <w:rFonts w:ascii="宋体" w:hAnsi="宋体" w:cs="宋体"/>
                <w:color w:val="000000"/>
                <w:szCs w:val="21"/>
              </w:rPr>
            </w:pPr>
          </w:p>
        </w:tc>
        <w:tc>
          <w:tcPr>
            <w:tcW w:w="3379" w:type="dxa"/>
            <w:tcBorders>
              <w:top w:val="nil"/>
              <w:left w:val="nil"/>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color w:val="000000"/>
                <w:szCs w:val="21"/>
              </w:rPr>
            </w:pPr>
            <w:r>
              <w:rPr>
                <w:rFonts w:hint="eastAsia" w:ascii="宋体" w:hAnsi="宋体" w:cs="宋体"/>
                <w:color w:val="000000"/>
                <w:kern w:val="0"/>
                <w:szCs w:val="21"/>
              </w:rPr>
              <w:t>供应设备、耗材质量</w:t>
            </w:r>
          </w:p>
        </w:tc>
        <w:tc>
          <w:tcPr>
            <w:tcW w:w="495" w:type="dxa"/>
            <w:tcBorders>
              <w:top w:val="nil"/>
              <w:left w:val="nil"/>
              <w:bottom w:val="single" w:color="auto" w:sz="4" w:space="0"/>
              <w:right w:val="single" w:color="auto" w:sz="4" w:space="0"/>
            </w:tcBorders>
            <w:noWrap/>
            <w:vAlign w:val="center"/>
          </w:tcPr>
          <w:p>
            <w:pPr>
              <w:widowControl/>
              <w:adjustRightInd w:val="0"/>
              <w:snapToGrid w:val="0"/>
              <w:spacing w:before="97" w:line="180" w:lineRule="atLeast"/>
              <w:jc w:val="center"/>
              <w:rPr>
                <w:rFonts w:ascii="宋体" w:hAnsi="宋体" w:cs="宋体"/>
                <w:color w:val="000000"/>
                <w:szCs w:val="21"/>
              </w:rPr>
            </w:pPr>
            <w:r>
              <w:rPr>
                <w:rFonts w:hint="eastAsia" w:ascii="宋体" w:hAnsi="宋体" w:cs="宋体"/>
                <w:color w:val="000000"/>
                <w:kern w:val="0"/>
                <w:szCs w:val="21"/>
              </w:rPr>
              <w:t>5</w:t>
            </w:r>
          </w:p>
        </w:tc>
        <w:tc>
          <w:tcPr>
            <w:tcW w:w="3191" w:type="dxa"/>
            <w:tcBorders>
              <w:top w:val="nil"/>
              <w:left w:val="nil"/>
              <w:bottom w:val="single" w:color="auto" w:sz="4" w:space="0"/>
              <w:right w:val="single" w:color="auto" w:sz="4" w:space="0"/>
            </w:tcBorders>
            <w:vAlign w:val="center"/>
          </w:tcPr>
          <w:p>
            <w:pPr>
              <w:widowControl/>
              <w:adjustRightInd w:val="0"/>
              <w:snapToGrid w:val="0"/>
              <w:spacing w:before="97" w:line="180" w:lineRule="atLeast"/>
              <w:jc w:val="left"/>
              <w:rPr>
                <w:rFonts w:ascii="宋体" w:hAnsi="宋体" w:cs="宋体"/>
                <w:color w:val="000000"/>
                <w:szCs w:val="21"/>
              </w:rPr>
            </w:pPr>
            <w:r>
              <w:rPr>
                <w:rFonts w:hint="eastAsia" w:ascii="宋体" w:hAnsi="宋体" w:cs="宋体"/>
                <w:color w:val="000000"/>
                <w:kern w:val="0"/>
                <w:szCs w:val="21"/>
              </w:rPr>
              <w:t>供应原装、合格产品4-5分，出现假冒伪劣1次扣5分</w:t>
            </w:r>
          </w:p>
        </w:tc>
        <w:tc>
          <w:tcPr>
            <w:tcW w:w="482" w:type="dxa"/>
            <w:tcBorders>
              <w:top w:val="nil"/>
              <w:left w:val="nil"/>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color w:val="000000"/>
                <w:szCs w:val="21"/>
              </w:rPr>
            </w:pPr>
          </w:p>
        </w:tc>
      </w:tr>
      <w:tr>
        <w:tblPrEx>
          <w:tblCellMar>
            <w:top w:w="0" w:type="dxa"/>
            <w:left w:w="57" w:type="dxa"/>
            <w:bottom w:w="0" w:type="dxa"/>
            <w:right w:w="57" w:type="dxa"/>
          </w:tblCellMar>
        </w:tblPrEx>
        <w:trPr>
          <w:trHeight w:val="567" w:hRule="atLeast"/>
          <w:jc w:val="center"/>
        </w:trPr>
        <w:tc>
          <w:tcPr>
            <w:tcW w:w="1074" w:type="dxa"/>
            <w:vMerge w:val="restart"/>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before="97" w:line="180" w:lineRule="atLeast"/>
              <w:jc w:val="center"/>
              <w:rPr>
                <w:rFonts w:ascii="宋体" w:hAnsi="宋体" w:cs="宋体"/>
                <w:color w:val="000000"/>
                <w:szCs w:val="21"/>
              </w:rPr>
            </w:pPr>
            <w:r>
              <w:rPr>
                <w:rFonts w:hint="eastAsia" w:ascii="宋体" w:hAnsi="宋体" w:cs="宋体"/>
                <w:color w:val="000000"/>
                <w:kern w:val="0"/>
                <w:szCs w:val="21"/>
              </w:rPr>
              <w:t>专业技术能力</w:t>
            </w:r>
          </w:p>
          <w:p>
            <w:pPr>
              <w:widowControl/>
              <w:adjustRightInd w:val="0"/>
              <w:snapToGrid w:val="0"/>
              <w:spacing w:before="97" w:line="180" w:lineRule="atLeast"/>
              <w:jc w:val="center"/>
              <w:rPr>
                <w:rFonts w:ascii="宋体" w:hAnsi="宋体" w:cs="宋体"/>
                <w:color w:val="000000"/>
                <w:szCs w:val="21"/>
              </w:rPr>
            </w:pPr>
            <w:r>
              <w:rPr>
                <w:rFonts w:hint="eastAsia" w:ascii="宋体" w:hAnsi="宋体" w:cs="宋体"/>
                <w:color w:val="000000"/>
                <w:kern w:val="0"/>
                <w:szCs w:val="21"/>
              </w:rPr>
              <w:t>(50分)</w:t>
            </w:r>
          </w:p>
        </w:tc>
        <w:tc>
          <w:tcPr>
            <w:tcW w:w="3379"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color w:val="000000"/>
                <w:szCs w:val="21"/>
              </w:rPr>
            </w:pPr>
            <w:r>
              <w:rPr>
                <w:rFonts w:hint="eastAsia" w:ascii="宋体" w:hAnsi="宋体" w:cs="宋体"/>
                <w:color w:val="000000"/>
                <w:kern w:val="0"/>
                <w:szCs w:val="21"/>
              </w:rPr>
              <w:t>打印机等终端维修、维护水平</w:t>
            </w:r>
          </w:p>
        </w:tc>
        <w:tc>
          <w:tcPr>
            <w:tcW w:w="495"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before="97" w:line="180" w:lineRule="atLeast"/>
              <w:jc w:val="center"/>
              <w:rPr>
                <w:rFonts w:ascii="宋体" w:hAnsi="宋体" w:cs="宋体"/>
                <w:color w:val="000000"/>
                <w:szCs w:val="21"/>
              </w:rPr>
            </w:pPr>
            <w:r>
              <w:rPr>
                <w:rFonts w:hint="eastAsia" w:ascii="宋体" w:hAnsi="宋体" w:cs="宋体"/>
                <w:color w:val="000000"/>
                <w:kern w:val="0"/>
                <w:szCs w:val="21"/>
              </w:rPr>
              <w:t>10</w:t>
            </w:r>
          </w:p>
        </w:tc>
        <w:tc>
          <w:tcPr>
            <w:tcW w:w="319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before="97" w:line="180" w:lineRule="atLeast"/>
              <w:jc w:val="left"/>
              <w:rPr>
                <w:rFonts w:ascii="宋体" w:hAnsi="宋体" w:cs="宋体"/>
                <w:color w:val="000000"/>
                <w:szCs w:val="21"/>
              </w:rPr>
            </w:pPr>
            <w:r>
              <w:rPr>
                <w:rFonts w:hint="eastAsia" w:ascii="宋体" w:hAnsi="宋体" w:cs="宋体"/>
                <w:color w:val="000000"/>
                <w:kern w:val="0"/>
                <w:szCs w:val="21"/>
              </w:rPr>
              <w:t>熟练掌握，没有投诉8-10分,一般掌握4-7分，未掌握0-3分</w:t>
            </w:r>
          </w:p>
        </w:tc>
        <w:tc>
          <w:tcPr>
            <w:tcW w:w="482"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color w:val="000000"/>
                <w:szCs w:val="21"/>
              </w:rPr>
            </w:pPr>
          </w:p>
        </w:tc>
      </w:tr>
      <w:tr>
        <w:tblPrEx>
          <w:tblCellMar>
            <w:top w:w="0" w:type="dxa"/>
            <w:left w:w="57" w:type="dxa"/>
            <w:bottom w:w="0" w:type="dxa"/>
            <w:right w:w="57" w:type="dxa"/>
          </w:tblCellMar>
        </w:tblPrEx>
        <w:trPr>
          <w:trHeight w:val="567" w:hRule="atLeast"/>
          <w:jc w:val="center"/>
        </w:trPr>
        <w:tc>
          <w:tcPr>
            <w:tcW w:w="1074"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before="97" w:line="180" w:lineRule="atLeast"/>
              <w:jc w:val="left"/>
              <w:rPr>
                <w:rFonts w:ascii="宋体" w:hAnsi="宋体" w:cs="宋体"/>
                <w:color w:val="000000"/>
                <w:szCs w:val="21"/>
              </w:rPr>
            </w:pPr>
          </w:p>
        </w:tc>
        <w:tc>
          <w:tcPr>
            <w:tcW w:w="3379"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color w:val="000000"/>
                <w:szCs w:val="21"/>
              </w:rPr>
            </w:pPr>
            <w:r>
              <w:rPr>
                <w:rFonts w:hint="eastAsia" w:ascii="宋体" w:hAnsi="宋体" w:cs="宋体"/>
                <w:color w:val="000000"/>
                <w:kern w:val="0"/>
                <w:szCs w:val="21"/>
              </w:rPr>
              <w:t>网络、操作系统及办公软件维护水平</w:t>
            </w:r>
          </w:p>
        </w:tc>
        <w:tc>
          <w:tcPr>
            <w:tcW w:w="495"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before="97" w:line="180" w:lineRule="atLeast"/>
              <w:jc w:val="center"/>
              <w:rPr>
                <w:rFonts w:ascii="宋体" w:hAnsi="宋体" w:cs="宋体"/>
                <w:color w:val="000000"/>
                <w:szCs w:val="21"/>
              </w:rPr>
            </w:pPr>
            <w:r>
              <w:rPr>
                <w:rFonts w:hint="eastAsia" w:ascii="宋体" w:hAnsi="宋体" w:cs="宋体"/>
                <w:color w:val="000000"/>
                <w:kern w:val="0"/>
                <w:szCs w:val="21"/>
              </w:rPr>
              <w:t>10</w:t>
            </w:r>
          </w:p>
        </w:tc>
        <w:tc>
          <w:tcPr>
            <w:tcW w:w="319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before="97" w:line="180" w:lineRule="atLeast"/>
              <w:jc w:val="left"/>
              <w:rPr>
                <w:rFonts w:ascii="宋体" w:hAnsi="宋体" w:cs="宋体"/>
                <w:color w:val="000000"/>
                <w:szCs w:val="21"/>
              </w:rPr>
            </w:pPr>
            <w:r>
              <w:rPr>
                <w:rFonts w:hint="eastAsia" w:ascii="宋体" w:hAnsi="宋体" w:cs="宋体"/>
                <w:color w:val="000000"/>
                <w:kern w:val="0"/>
                <w:szCs w:val="21"/>
              </w:rPr>
              <w:t>熟练掌握，没有投诉8-10分,一般掌握4-7分，未掌握0-3分</w:t>
            </w:r>
          </w:p>
        </w:tc>
        <w:tc>
          <w:tcPr>
            <w:tcW w:w="482"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color w:val="000000"/>
                <w:szCs w:val="21"/>
              </w:rPr>
            </w:pPr>
          </w:p>
        </w:tc>
      </w:tr>
      <w:tr>
        <w:tblPrEx>
          <w:tblCellMar>
            <w:top w:w="0" w:type="dxa"/>
            <w:left w:w="57" w:type="dxa"/>
            <w:bottom w:w="0" w:type="dxa"/>
            <w:right w:w="57" w:type="dxa"/>
          </w:tblCellMar>
        </w:tblPrEx>
        <w:trPr>
          <w:trHeight w:val="567" w:hRule="atLeast"/>
          <w:jc w:val="center"/>
        </w:trPr>
        <w:tc>
          <w:tcPr>
            <w:tcW w:w="1074"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before="97" w:line="180" w:lineRule="atLeast"/>
              <w:jc w:val="left"/>
              <w:rPr>
                <w:rFonts w:ascii="宋体" w:hAnsi="宋体" w:cs="宋体"/>
                <w:color w:val="000000"/>
                <w:szCs w:val="21"/>
              </w:rPr>
            </w:pPr>
          </w:p>
        </w:tc>
        <w:tc>
          <w:tcPr>
            <w:tcW w:w="3379"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color w:val="000000"/>
                <w:szCs w:val="21"/>
              </w:rPr>
            </w:pPr>
            <w:r>
              <w:rPr>
                <w:rFonts w:hint="eastAsia" w:ascii="宋体" w:hAnsi="宋体" w:cs="宋体"/>
                <w:color w:val="000000"/>
                <w:kern w:val="0"/>
                <w:szCs w:val="21"/>
              </w:rPr>
              <w:t>工单上线闭环管理程度</w:t>
            </w:r>
          </w:p>
        </w:tc>
        <w:tc>
          <w:tcPr>
            <w:tcW w:w="495"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before="97" w:line="180" w:lineRule="atLeast"/>
              <w:jc w:val="center"/>
              <w:rPr>
                <w:rFonts w:ascii="宋体" w:hAnsi="宋体" w:cs="宋体"/>
                <w:color w:val="000000"/>
                <w:szCs w:val="21"/>
              </w:rPr>
            </w:pPr>
            <w:r>
              <w:rPr>
                <w:rFonts w:hint="eastAsia" w:ascii="宋体" w:hAnsi="宋体" w:cs="宋体"/>
                <w:color w:val="000000"/>
                <w:kern w:val="0"/>
                <w:szCs w:val="21"/>
              </w:rPr>
              <w:t>10</w:t>
            </w:r>
          </w:p>
        </w:tc>
        <w:tc>
          <w:tcPr>
            <w:tcW w:w="319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before="97" w:line="180" w:lineRule="atLeast"/>
              <w:jc w:val="left"/>
              <w:rPr>
                <w:rFonts w:ascii="宋体" w:hAnsi="宋体" w:cs="宋体"/>
                <w:color w:val="000000"/>
                <w:szCs w:val="21"/>
              </w:rPr>
            </w:pPr>
            <w:r>
              <w:rPr>
                <w:rFonts w:hint="eastAsia" w:ascii="宋体" w:hAnsi="宋体" w:cs="宋体"/>
                <w:color w:val="000000"/>
                <w:kern w:val="0"/>
                <w:szCs w:val="21"/>
              </w:rPr>
              <w:t>工单及时闭环无遗漏10分，工单管理一般有遗漏6-8分，遗漏严重，应用程度不高0-5分。</w:t>
            </w:r>
          </w:p>
        </w:tc>
        <w:tc>
          <w:tcPr>
            <w:tcW w:w="482"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color w:val="000000"/>
                <w:szCs w:val="21"/>
              </w:rPr>
            </w:pPr>
          </w:p>
        </w:tc>
      </w:tr>
      <w:tr>
        <w:tblPrEx>
          <w:tblCellMar>
            <w:top w:w="0" w:type="dxa"/>
            <w:left w:w="57" w:type="dxa"/>
            <w:bottom w:w="0" w:type="dxa"/>
            <w:right w:w="57" w:type="dxa"/>
          </w:tblCellMar>
        </w:tblPrEx>
        <w:trPr>
          <w:trHeight w:val="567" w:hRule="atLeast"/>
          <w:jc w:val="center"/>
        </w:trPr>
        <w:tc>
          <w:tcPr>
            <w:tcW w:w="1074"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before="97" w:line="180" w:lineRule="atLeast"/>
              <w:jc w:val="left"/>
              <w:rPr>
                <w:rFonts w:ascii="宋体" w:hAnsi="宋体" w:cs="宋体"/>
                <w:color w:val="000000"/>
                <w:szCs w:val="21"/>
              </w:rPr>
            </w:pPr>
          </w:p>
        </w:tc>
        <w:tc>
          <w:tcPr>
            <w:tcW w:w="3379"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color w:val="000000"/>
                <w:szCs w:val="21"/>
              </w:rPr>
            </w:pPr>
            <w:r>
              <w:rPr>
                <w:rFonts w:hint="eastAsia" w:ascii="宋体" w:hAnsi="宋体" w:cs="宋体"/>
                <w:color w:val="000000"/>
                <w:kern w:val="0"/>
                <w:szCs w:val="21"/>
              </w:rPr>
              <w:t>资产、耗材管理能力</w:t>
            </w:r>
          </w:p>
        </w:tc>
        <w:tc>
          <w:tcPr>
            <w:tcW w:w="495"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before="97" w:line="180" w:lineRule="atLeast"/>
              <w:jc w:val="center"/>
              <w:rPr>
                <w:rFonts w:ascii="宋体" w:hAnsi="宋体" w:cs="宋体"/>
                <w:color w:val="000000"/>
                <w:szCs w:val="21"/>
              </w:rPr>
            </w:pPr>
            <w:r>
              <w:rPr>
                <w:rFonts w:hint="eastAsia" w:ascii="宋体" w:hAnsi="宋体" w:cs="宋体"/>
                <w:color w:val="000000"/>
                <w:kern w:val="0"/>
                <w:szCs w:val="21"/>
              </w:rPr>
              <w:t>10</w:t>
            </w:r>
          </w:p>
        </w:tc>
        <w:tc>
          <w:tcPr>
            <w:tcW w:w="319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before="97" w:line="180" w:lineRule="atLeast"/>
              <w:jc w:val="left"/>
              <w:rPr>
                <w:rFonts w:ascii="宋体" w:hAnsi="宋体" w:cs="宋体"/>
                <w:color w:val="000000"/>
                <w:szCs w:val="21"/>
              </w:rPr>
            </w:pPr>
            <w:r>
              <w:rPr>
                <w:rFonts w:hint="eastAsia" w:ascii="宋体" w:hAnsi="宋体" w:cs="宋体"/>
                <w:color w:val="000000"/>
                <w:kern w:val="0"/>
                <w:szCs w:val="21"/>
              </w:rPr>
              <w:t>管理得当、数据准确4-5分，管理一般、数据错漏2-3分，未管理、大量失真0-1分</w:t>
            </w:r>
          </w:p>
        </w:tc>
        <w:tc>
          <w:tcPr>
            <w:tcW w:w="482"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color w:val="000000"/>
                <w:szCs w:val="21"/>
              </w:rPr>
            </w:pPr>
          </w:p>
        </w:tc>
      </w:tr>
      <w:tr>
        <w:tblPrEx>
          <w:tblCellMar>
            <w:top w:w="0" w:type="dxa"/>
            <w:left w:w="57" w:type="dxa"/>
            <w:bottom w:w="0" w:type="dxa"/>
            <w:right w:w="57" w:type="dxa"/>
          </w:tblCellMar>
        </w:tblPrEx>
        <w:trPr>
          <w:trHeight w:val="567" w:hRule="atLeast"/>
          <w:jc w:val="center"/>
        </w:trPr>
        <w:tc>
          <w:tcPr>
            <w:tcW w:w="1074"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before="97" w:line="180" w:lineRule="atLeast"/>
              <w:jc w:val="left"/>
              <w:rPr>
                <w:rFonts w:ascii="宋体" w:hAnsi="宋体" w:cs="宋体"/>
                <w:color w:val="000000"/>
                <w:szCs w:val="21"/>
              </w:rPr>
            </w:pPr>
          </w:p>
        </w:tc>
        <w:tc>
          <w:tcPr>
            <w:tcW w:w="3379"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color w:val="000000"/>
                <w:szCs w:val="21"/>
              </w:rPr>
            </w:pPr>
            <w:r>
              <w:rPr>
                <w:rFonts w:hint="eastAsia" w:ascii="宋体" w:hAnsi="宋体" w:cs="宋体"/>
                <w:color w:val="000000"/>
                <w:kern w:val="0"/>
                <w:szCs w:val="21"/>
              </w:rPr>
              <w:t>临床和部门满意度</w:t>
            </w:r>
          </w:p>
        </w:tc>
        <w:tc>
          <w:tcPr>
            <w:tcW w:w="495"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before="97" w:line="180" w:lineRule="atLeast"/>
              <w:jc w:val="center"/>
              <w:rPr>
                <w:rFonts w:ascii="宋体" w:hAnsi="宋体" w:cs="宋体"/>
                <w:color w:val="000000"/>
                <w:szCs w:val="21"/>
              </w:rPr>
            </w:pPr>
            <w:r>
              <w:rPr>
                <w:rFonts w:hint="eastAsia" w:ascii="宋体" w:hAnsi="宋体" w:cs="宋体"/>
                <w:color w:val="000000"/>
                <w:kern w:val="0"/>
                <w:szCs w:val="21"/>
              </w:rPr>
              <w:t>5</w:t>
            </w:r>
          </w:p>
        </w:tc>
        <w:tc>
          <w:tcPr>
            <w:tcW w:w="319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before="97" w:line="180" w:lineRule="atLeast"/>
              <w:jc w:val="left"/>
              <w:rPr>
                <w:rFonts w:ascii="宋体" w:hAnsi="宋体" w:cs="宋体"/>
                <w:color w:val="000000"/>
                <w:szCs w:val="21"/>
              </w:rPr>
            </w:pPr>
            <w:r>
              <w:rPr>
                <w:rFonts w:hint="eastAsia" w:ascii="宋体" w:hAnsi="宋体" w:cs="宋体"/>
                <w:color w:val="000000"/>
                <w:kern w:val="0"/>
                <w:szCs w:val="21"/>
              </w:rPr>
              <w:t>优秀，0投诉4-5分，一般2-3分，差0-1分</w:t>
            </w:r>
          </w:p>
        </w:tc>
        <w:tc>
          <w:tcPr>
            <w:tcW w:w="482"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color w:val="000000"/>
                <w:szCs w:val="21"/>
              </w:rPr>
            </w:pPr>
          </w:p>
        </w:tc>
      </w:tr>
      <w:tr>
        <w:tblPrEx>
          <w:tblCellMar>
            <w:top w:w="0" w:type="dxa"/>
            <w:left w:w="57" w:type="dxa"/>
            <w:bottom w:w="0" w:type="dxa"/>
            <w:right w:w="57" w:type="dxa"/>
          </w:tblCellMar>
        </w:tblPrEx>
        <w:trPr>
          <w:trHeight w:val="567" w:hRule="atLeast"/>
          <w:jc w:val="center"/>
        </w:trPr>
        <w:tc>
          <w:tcPr>
            <w:tcW w:w="1074"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before="97" w:line="180" w:lineRule="atLeast"/>
              <w:jc w:val="left"/>
              <w:rPr>
                <w:rFonts w:ascii="宋体" w:hAnsi="宋体" w:cs="宋体"/>
                <w:color w:val="000000"/>
                <w:szCs w:val="21"/>
              </w:rPr>
            </w:pPr>
          </w:p>
        </w:tc>
        <w:tc>
          <w:tcPr>
            <w:tcW w:w="3379"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color w:val="000000"/>
                <w:szCs w:val="21"/>
              </w:rPr>
            </w:pPr>
            <w:r>
              <w:rPr>
                <w:rFonts w:hint="eastAsia" w:ascii="宋体" w:hAnsi="宋体" w:cs="宋体"/>
                <w:color w:val="000000"/>
                <w:kern w:val="0"/>
                <w:szCs w:val="21"/>
              </w:rPr>
              <w:t>服务报告</w:t>
            </w:r>
          </w:p>
        </w:tc>
        <w:tc>
          <w:tcPr>
            <w:tcW w:w="495"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before="97" w:line="180" w:lineRule="atLeast"/>
              <w:jc w:val="center"/>
              <w:rPr>
                <w:rFonts w:ascii="宋体" w:hAnsi="宋体" w:cs="宋体"/>
                <w:color w:val="000000"/>
                <w:szCs w:val="21"/>
              </w:rPr>
            </w:pPr>
            <w:r>
              <w:rPr>
                <w:rFonts w:hint="eastAsia" w:ascii="宋体" w:hAnsi="宋体" w:cs="宋体"/>
                <w:color w:val="000000"/>
                <w:kern w:val="0"/>
                <w:szCs w:val="21"/>
              </w:rPr>
              <w:t>5</w:t>
            </w:r>
          </w:p>
        </w:tc>
        <w:tc>
          <w:tcPr>
            <w:tcW w:w="319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before="97" w:line="180" w:lineRule="atLeast"/>
              <w:jc w:val="left"/>
              <w:rPr>
                <w:rFonts w:ascii="宋体" w:hAnsi="宋体" w:cs="宋体"/>
                <w:color w:val="000000"/>
                <w:szCs w:val="21"/>
              </w:rPr>
            </w:pPr>
            <w:r>
              <w:rPr>
                <w:rFonts w:hint="eastAsia" w:ascii="宋体" w:hAnsi="宋体" w:cs="宋体"/>
                <w:color w:val="000000"/>
                <w:kern w:val="0"/>
                <w:szCs w:val="21"/>
              </w:rPr>
              <w:t>报告内容完善、数据准确4-5分，一般2-3分，差0-1分</w:t>
            </w:r>
          </w:p>
        </w:tc>
        <w:tc>
          <w:tcPr>
            <w:tcW w:w="482"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color w:val="000000"/>
                <w:szCs w:val="21"/>
              </w:rPr>
            </w:pPr>
          </w:p>
        </w:tc>
      </w:tr>
      <w:tr>
        <w:tblPrEx>
          <w:tblCellMar>
            <w:top w:w="0" w:type="dxa"/>
            <w:left w:w="57" w:type="dxa"/>
            <w:bottom w:w="0" w:type="dxa"/>
            <w:right w:w="57" w:type="dxa"/>
          </w:tblCellMar>
        </w:tblPrEx>
        <w:trPr>
          <w:trHeight w:val="567" w:hRule="atLeast"/>
          <w:jc w:val="center"/>
        </w:trPr>
        <w:tc>
          <w:tcPr>
            <w:tcW w:w="1074" w:type="dxa"/>
            <w:vMerge w:val="restart"/>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before="97" w:line="180" w:lineRule="atLeast"/>
              <w:jc w:val="center"/>
              <w:rPr>
                <w:rFonts w:ascii="宋体" w:hAnsi="宋体" w:cs="宋体"/>
                <w:color w:val="000000"/>
                <w:szCs w:val="21"/>
              </w:rPr>
            </w:pPr>
            <w:r>
              <w:rPr>
                <w:rFonts w:hint="eastAsia" w:ascii="宋体" w:hAnsi="宋体" w:cs="宋体"/>
                <w:color w:val="000000"/>
                <w:kern w:val="0"/>
                <w:szCs w:val="21"/>
              </w:rPr>
              <w:t>工作量评分</w:t>
            </w:r>
          </w:p>
          <w:p>
            <w:pPr>
              <w:widowControl/>
              <w:adjustRightInd w:val="0"/>
              <w:snapToGrid w:val="0"/>
              <w:spacing w:before="97" w:line="180" w:lineRule="atLeast"/>
              <w:jc w:val="center"/>
              <w:rPr>
                <w:rFonts w:ascii="宋体" w:hAnsi="宋体" w:cs="宋体"/>
                <w:color w:val="000000"/>
                <w:szCs w:val="21"/>
              </w:rPr>
            </w:pPr>
            <w:r>
              <w:rPr>
                <w:rFonts w:hint="eastAsia" w:ascii="宋体" w:hAnsi="宋体" w:cs="宋体"/>
                <w:color w:val="000000"/>
                <w:kern w:val="0"/>
                <w:szCs w:val="21"/>
              </w:rPr>
              <w:t>(20分)</w:t>
            </w:r>
          </w:p>
        </w:tc>
        <w:tc>
          <w:tcPr>
            <w:tcW w:w="3379"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color w:val="000000"/>
                <w:szCs w:val="21"/>
              </w:rPr>
            </w:pPr>
            <w:r>
              <w:rPr>
                <w:rFonts w:hint="eastAsia" w:ascii="宋体" w:hAnsi="宋体" w:cs="宋体"/>
                <w:color w:val="000000"/>
                <w:kern w:val="0"/>
                <w:szCs w:val="21"/>
              </w:rPr>
              <w:t>完成工作岗位常规工作</w:t>
            </w:r>
          </w:p>
        </w:tc>
        <w:tc>
          <w:tcPr>
            <w:tcW w:w="495"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before="97" w:line="180" w:lineRule="atLeast"/>
              <w:jc w:val="center"/>
              <w:rPr>
                <w:rFonts w:ascii="宋体" w:hAnsi="宋体" w:cs="宋体"/>
                <w:color w:val="000000"/>
                <w:szCs w:val="21"/>
              </w:rPr>
            </w:pPr>
            <w:r>
              <w:rPr>
                <w:rFonts w:hint="eastAsia" w:ascii="宋体" w:hAnsi="宋体" w:cs="宋体"/>
                <w:color w:val="000000"/>
                <w:kern w:val="0"/>
                <w:szCs w:val="21"/>
              </w:rPr>
              <w:t>10</w:t>
            </w:r>
          </w:p>
        </w:tc>
        <w:tc>
          <w:tcPr>
            <w:tcW w:w="319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before="97" w:line="180" w:lineRule="atLeast"/>
              <w:jc w:val="left"/>
              <w:rPr>
                <w:rFonts w:ascii="宋体" w:hAnsi="宋体" w:cs="宋体"/>
                <w:color w:val="000000"/>
                <w:szCs w:val="21"/>
              </w:rPr>
            </w:pPr>
            <w:r>
              <w:rPr>
                <w:rFonts w:hint="eastAsia" w:ascii="宋体" w:hAnsi="宋体" w:cs="宋体"/>
                <w:color w:val="000000"/>
                <w:kern w:val="0"/>
                <w:szCs w:val="21"/>
              </w:rPr>
              <w:t>保质保量完成8-10分，部分完成4-7分，不完成0-3分</w:t>
            </w:r>
          </w:p>
        </w:tc>
        <w:tc>
          <w:tcPr>
            <w:tcW w:w="482"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color w:val="000000"/>
                <w:szCs w:val="21"/>
              </w:rPr>
            </w:pPr>
          </w:p>
        </w:tc>
      </w:tr>
      <w:tr>
        <w:tblPrEx>
          <w:tblCellMar>
            <w:top w:w="0" w:type="dxa"/>
            <w:left w:w="57" w:type="dxa"/>
            <w:bottom w:w="0" w:type="dxa"/>
            <w:right w:w="57" w:type="dxa"/>
          </w:tblCellMar>
        </w:tblPrEx>
        <w:trPr>
          <w:trHeight w:val="567" w:hRule="atLeast"/>
          <w:jc w:val="center"/>
        </w:trPr>
        <w:tc>
          <w:tcPr>
            <w:tcW w:w="1074"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before="97" w:line="180" w:lineRule="atLeast"/>
              <w:jc w:val="left"/>
              <w:rPr>
                <w:rFonts w:ascii="宋体" w:hAnsi="宋体" w:cs="宋体"/>
                <w:color w:val="000000"/>
                <w:szCs w:val="21"/>
              </w:rPr>
            </w:pPr>
          </w:p>
        </w:tc>
        <w:tc>
          <w:tcPr>
            <w:tcW w:w="3379" w:type="dxa"/>
            <w:tcBorders>
              <w:top w:val="single" w:color="auto" w:sz="4" w:space="0"/>
              <w:left w:val="nil"/>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color w:val="000000"/>
                <w:szCs w:val="21"/>
              </w:rPr>
            </w:pPr>
            <w:r>
              <w:rPr>
                <w:rFonts w:hint="eastAsia" w:ascii="宋体" w:hAnsi="宋体" w:cs="宋体"/>
                <w:color w:val="000000"/>
                <w:kern w:val="0"/>
                <w:szCs w:val="21"/>
              </w:rPr>
              <w:t>完成故障和需求处理，并做好记录，持续跟踪和反馈</w:t>
            </w:r>
          </w:p>
        </w:tc>
        <w:tc>
          <w:tcPr>
            <w:tcW w:w="495" w:type="dxa"/>
            <w:tcBorders>
              <w:top w:val="single" w:color="auto" w:sz="4" w:space="0"/>
              <w:left w:val="nil"/>
              <w:bottom w:val="single" w:color="auto" w:sz="4" w:space="0"/>
              <w:right w:val="single" w:color="auto" w:sz="4" w:space="0"/>
            </w:tcBorders>
            <w:noWrap/>
            <w:vAlign w:val="center"/>
          </w:tcPr>
          <w:p>
            <w:pPr>
              <w:widowControl/>
              <w:adjustRightInd w:val="0"/>
              <w:snapToGrid w:val="0"/>
              <w:spacing w:before="97" w:line="180" w:lineRule="atLeast"/>
              <w:jc w:val="center"/>
              <w:rPr>
                <w:rFonts w:ascii="宋体" w:hAnsi="宋体" w:cs="宋体"/>
                <w:color w:val="000000"/>
                <w:szCs w:val="21"/>
              </w:rPr>
            </w:pPr>
            <w:r>
              <w:rPr>
                <w:rFonts w:hint="eastAsia" w:ascii="宋体" w:hAnsi="宋体" w:cs="宋体"/>
                <w:color w:val="000000"/>
                <w:kern w:val="0"/>
                <w:szCs w:val="21"/>
              </w:rPr>
              <w:t>6</w:t>
            </w:r>
          </w:p>
        </w:tc>
        <w:tc>
          <w:tcPr>
            <w:tcW w:w="3191" w:type="dxa"/>
            <w:tcBorders>
              <w:top w:val="single" w:color="auto" w:sz="4" w:space="0"/>
              <w:left w:val="nil"/>
              <w:bottom w:val="single" w:color="auto" w:sz="4" w:space="0"/>
              <w:right w:val="single" w:color="auto" w:sz="4" w:space="0"/>
            </w:tcBorders>
            <w:vAlign w:val="center"/>
          </w:tcPr>
          <w:p>
            <w:pPr>
              <w:widowControl/>
              <w:adjustRightInd w:val="0"/>
              <w:snapToGrid w:val="0"/>
              <w:spacing w:before="97" w:line="180" w:lineRule="atLeast"/>
              <w:jc w:val="left"/>
              <w:rPr>
                <w:rFonts w:ascii="宋体" w:hAnsi="宋体" w:cs="宋体"/>
                <w:color w:val="000000"/>
                <w:szCs w:val="21"/>
              </w:rPr>
            </w:pPr>
            <w:r>
              <w:rPr>
                <w:rFonts w:hint="eastAsia" w:ascii="宋体" w:hAnsi="宋体" w:cs="宋体"/>
                <w:color w:val="000000"/>
                <w:kern w:val="0"/>
                <w:szCs w:val="21"/>
              </w:rPr>
              <w:t>记录完备、反馈及时5-6分，记录缺失、反馈不及时2-4分，无记录、无反馈0-1分</w:t>
            </w:r>
          </w:p>
        </w:tc>
        <w:tc>
          <w:tcPr>
            <w:tcW w:w="482" w:type="dxa"/>
            <w:tcBorders>
              <w:top w:val="single" w:color="auto" w:sz="4" w:space="0"/>
              <w:left w:val="nil"/>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color w:val="000000"/>
                <w:szCs w:val="21"/>
              </w:rPr>
            </w:pPr>
          </w:p>
        </w:tc>
      </w:tr>
      <w:tr>
        <w:tblPrEx>
          <w:tblCellMar>
            <w:top w:w="0" w:type="dxa"/>
            <w:left w:w="57" w:type="dxa"/>
            <w:bottom w:w="0" w:type="dxa"/>
            <w:right w:w="57" w:type="dxa"/>
          </w:tblCellMar>
        </w:tblPrEx>
        <w:trPr>
          <w:trHeight w:val="567" w:hRule="atLeast"/>
          <w:jc w:val="center"/>
        </w:trPr>
        <w:tc>
          <w:tcPr>
            <w:tcW w:w="1074" w:type="dxa"/>
            <w:vMerge w:val="continue"/>
            <w:tcBorders>
              <w:top w:val="nil"/>
              <w:left w:val="single" w:color="auto" w:sz="4" w:space="0"/>
              <w:bottom w:val="single" w:color="auto" w:sz="4" w:space="0"/>
              <w:right w:val="single" w:color="auto" w:sz="4" w:space="0"/>
            </w:tcBorders>
            <w:vAlign w:val="center"/>
          </w:tcPr>
          <w:p>
            <w:pPr>
              <w:widowControl/>
              <w:adjustRightInd w:val="0"/>
              <w:snapToGrid w:val="0"/>
              <w:spacing w:before="97" w:line="180" w:lineRule="atLeast"/>
              <w:jc w:val="left"/>
              <w:rPr>
                <w:rFonts w:ascii="宋体" w:hAnsi="宋体" w:cs="宋体"/>
                <w:color w:val="000000"/>
                <w:szCs w:val="21"/>
              </w:rPr>
            </w:pPr>
          </w:p>
        </w:tc>
        <w:tc>
          <w:tcPr>
            <w:tcW w:w="3379" w:type="dxa"/>
            <w:tcBorders>
              <w:top w:val="nil"/>
              <w:left w:val="nil"/>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color w:val="000000"/>
                <w:szCs w:val="21"/>
              </w:rPr>
            </w:pPr>
            <w:r>
              <w:rPr>
                <w:rFonts w:hint="eastAsia" w:ascii="宋体" w:hAnsi="宋体" w:cs="宋体"/>
                <w:color w:val="000000"/>
                <w:kern w:val="0"/>
                <w:szCs w:val="21"/>
              </w:rPr>
              <w:t>参与医院或上级安排的突击性工作或创新型工作</w:t>
            </w:r>
          </w:p>
        </w:tc>
        <w:tc>
          <w:tcPr>
            <w:tcW w:w="495" w:type="dxa"/>
            <w:tcBorders>
              <w:top w:val="nil"/>
              <w:left w:val="nil"/>
              <w:bottom w:val="single" w:color="auto" w:sz="4" w:space="0"/>
              <w:right w:val="single" w:color="auto" w:sz="4" w:space="0"/>
            </w:tcBorders>
            <w:noWrap/>
            <w:vAlign w:val="center"/>
          </w:tcPr>
          <w:p>
            <w:pPr>
              <w:widowControl/>
              <w:adjustRightInd w:val="0"/>
              <w:snapToGrid w:val="0"/>
              <w:spacing w:before="97" w:line="180" w:lineRule="atLeast"/>
              <w:jc w:val="center"/>
              <w:rPr>
                <w:rFonts w:ascii="宋体" w:hAnsi="宋体" w:cs="宋体"/>
                <w:color w:val="000000"/>
                <w:szCs w:val="21"/>
              </w:rPr>
            </w:pPr>
            <w:r>
              <w:rPr>
                <w:rFonts w:hint="eastAsia" w:ascii="宋体" w:hAnsi="宋体" w:cs="宋体"/>
                <w:color w:val="000000"/>
                <w:kern w:val="0"/>
                <w:szCs w:val="21"/>
              </w:rPr>
              <w:t>4</w:t>
            </w:r>
          </w:p>
        </w:tc>
        <w:tc>
          <w:tcPr>
            <w:tcW w:w="3191" w:type="dxa"/>
            <w:tcBorders>
              <w:top w:val="nil"/>
              <w:left w:val="nil"/>
              <w:bottom w:val="single" w:color="auto" w:sz="4" w:space="0"/>
              <w:right w:val="single" w:color="auto" w:sz="4" w:space="0"/>
            </w:tcBorders>
            <w:vAlign w:val="center"/>
          </w:tcPr>
          <w:p>
            <w:pPr>
              <w:widowControl/>
              <w:adjustRightInd w:val="0"/>
              <w:snapToGrid w:val="0"/>
              <w:spacing w:before="97" w:line="180" w:lineRule="atLeast"/>
              <w:jc w:val="left"/>
              <w:rPr>
                <w:rFonts w:ascii="宋体" w:hAnsi="宋体" w:cs="宋体"/>
                <w:color w:val="000000"/>
                <w:szCs w:val="21"/>
              </w:rPr>
            </w:pPr>
            <w:r>
              <w:rPr>
                <w:rFonts w:hint="eastAsia" w:ascii="宋体" w:hAnsi="宋体" w:cs="宋体"/>
                <w:color w:val="000000"/>
                <w:kern w:val="0"/>
                <w:szCs w:val="21"/>
              </w:rPr>
              <w:t>完全参与得4分，部分参与得2-3分，未参与0-1分</w:t>
            </w:r>
          </w:p>
        </w:tc>
        <w:tc>
          <w:tcPr>
            <w:tcW w:w="482" w:type="dxa"/>
            <w:tcBorders>
              <w:top w:val="nil"/>
              <w:left w:val="nil"/>
              <w:bottom w:val="single" w:color="auto" w:sz="4" w:space="0"/>
              <w:right w:val="single" w:color="auto" w:sz="4" w:space="0"/>
            </w:tcBorders>
            <w:noWrap/>
            <w:vAlign w:val="center"/>
          </w:tcPr>
          <w:p>
            <w:pPr>
              <w:widowControl/>
              <w:adjustRightInd w:val="0"/>
              <w:snapToGrid w:val="0"/>
              <w:spacing w:before="97" w:line="180" w:lineRule="atLeast"/>
              <w:jc w:val="left"/>
              <w:rPr>
                <w:rFonts w:ascii="宋体" w:hAnsi="宋体" w:cs="宋体"/>
                <w:color w:val="000000"/>
                <w:szCs w:val="21"/>
              </w:rPr>
            </w:pPr>
          </w:p>
        </w:tc>
      </w:tr>
    </w:tbl>
    <w:p>
      <w:pPr>
        <w:widowControl/>
        <w:adjustRightInd w:val="0"/>
        <w:snapToGrid w:val="0"/>
        <w:spacing w:before="97" w:line="460" w:lineRule="exact"/>
        <w:ind w:right="-466" w:rightChars="-222" w:firstLine="210" w:firstLineChars="100"/>
        <w:jc w:val="left"/>
        <w:rPr>
          <w:rFonts w:ascii="宋体" w:hAnsi="宋体"/>
          <w:b/>
          <w:bCs/>
        </w:rPr>
      </w:pPr>
      <w:r>
        <w:br w:type="page"/>
      </w:r>
      <w:r>
        <w:rPr>
          <w:rFonts w:hint="eastAsia" w:ascii="宋体" w:hAnsi="宋体"/>
          <w:b/>
          <w:bCs/>
        </w:rPr>
        <w:t>（3）用户满意度评价表</w:t>
      </w:r>
    </w:p>
    <w:p>
      <w:pPr>
        <w:spacing w:before="97"/>
        <w:jc w:val="center"/>
        <w:rPr>
          <w:b/>
          <w:bCs/>
          <w:sz w:val="24"/>
        </w:rPr>
      </w:pPr>
      <w:r>
        <w:rPr>
          <w:b/>
          <w:bCs/>
          <w:sz w:val="24"/>
        </w:rPr>
        <w:t>用户满意度评价表</w:t>
      </w:r>
    </w:p>
    <w:tbl>
      <w:tblPr>
        <w:tblStyle w:val="17"/>
        <w:tblW w:w="5031" w:type="pct"/>
        <w:tblInd w:w="10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28" w:type="dxa"/>
          <w:left w:w="85" w:type="dxa"/>
          <w:bottom w:w="28" w:type="dxa"/>
          <w:right w:w="85" w:type="dxa"/>
        </w:tblCellMar>
      </w:tblPr>
      <w:tblGrid>
        <w:gridCol w:w="1047"/>
        <w:gridCol w:w="3899"/>
        <w:gridCol w:w="1878"/>
        <w:gridCol w:w="1479"/>
        <w:gridCol w:w="16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85" w:type="dxa"/>
            <w:bottom w:w="28" w:type="dxa"/>
            <w:right w:w="85" w:type="dxa"/>
          </w:tblCellMar>
        </w:tblPrEx>
        <w:trPr>
          <w:trHeight w:val="668" w:hRule="atLeast"/>
        </w:trPr>
        <w:tc>
          <w:tcPr>
            <w:tcW w:w="2479" w:type="pct"/>
            <w:gridSpan w:val="2"/>
            <w:vAlign w:val="center"/>
          </w:tcPr>
          <w:p>
            <w:pPr>
              <w:spacing w:before="97"/>
              <w:rPr>
                <w:b/>
                <w:bCs/>
                <w:spacing w:val="4"/>
              </w:rPr>
            </w:pPr>
            <w:r>
              <w:rPr>
                <w:b/>
                <w:bCs/>
              </w:rPr>
              <w:t>客户名称：</w:t>
            </w:r>
          </w:p>
        </w:tc>
        <w:tc>
          <w:tcPr>
            <w:tcW w:w="2521" w:type="pct"/>
            <w:gridSpan w:val="3"/>
            <w:vAlign w:val="center"/>
          </w:tcPr>
          <w:p>
            <w:pPr>
              <w:spacing w:before="97"/>
              <w:rPr>
                <w:b/>
                <w:bCs/>
                <w:spacing w:val="4"/>
              </w:rPr>
            </w:pPr>
            <w:r>
              <w:rPr>
                <w:b/>
                <w:bCs/>
              </w:rPr>
              <w:t>科室名称：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85" w:type="dxa"/>
            <w:bottom w:w="28" w:type="dxa"/>
            <w:right w:w="85" w:type="dxa"/>
          </w:tblCellMar>
        </w:tblPrEx>
        <w:trPr>
          <w:trHeight w:val="446" w:hRule="atLeast"/>
        </w:trPr>
        <w:tc>
          <w:tcPr>
            <w:tcW w:w="525" w:type="pct"/>
            <w:vMerge w:val="restart"/>
            <w:vAlign w:val="center"/>
          </w:tcPr>
          <w:p>
            <w:pPr>
              <w:spacing w:before="97"/>
              <w:jc w:val="center"/>
              <w:rPr>
                <w:b/>
                <w:bCs/>
                <w:spacing w:val="3"/>
              </w:rPr>
            </w:pPr>
            <w:r>
              <w:rPr>
                <w:b/>
                <w:bCs/>
              </w:rPr>
              <w:t>服务类型</w:t>
            </w:r>
          </w:p>
        </w:tc>
        <w:tc>
          <w:tcPr>
            <w:tcW w:w="1954" w:type="pct"/>
            <w:vMerge w:val="restart"/>
            <w:vAlign w:val="center"/>
          </w:tcPr>
          <w:p>
            <w:pPr>
              <w:spacing w:before="97"/>
              <w:jc w:val="center"/>
              <w:rPr>
                <w:b/>
                <w:bCs/>
              </w:rPr>
            </w:pPr>
            <w:r>
              <w:rPr>
                <w:b/>
                <w:bCs/>
              </w:rPr>
              <w:t>详</w:t>
            </w:r>
            <w:r>
              <w:rPr>
                <w:rFonts w:hint="eastAsia"/>
                <w:b/>
                <w:bCs/>
              </w:rPr>
              <w:t xml:space="preserve"> </w:t>
            </w:r>
            <w:r>
              <w:rPr>
                <w:b/>
                <w:bCs/>
              </w:rPr>
              <w:t>情</w:t>
            </w:r>
          </w:p>
        </w:tc>
        <w:tc>
          <w:tcPr>
            <w:tcW w:w="2521" w:type="pct"/>
            <w:gridSpan w:val="3"/>
            <w:vAlign w:val="center"/>
          </w:tcPr>
          <w:p>
            <w:pPr>
              <w:spacing w:before="97"/>
              <w:jc w:val="center"/>
              <w:rPr>
                <w:b/>
                <w:bCs/>
              </w:rPr>
            </w:pPr>
            <w:r>
              <w:rPr>
                <w:b/>
                <w:bCs/>
              </w:rPr>
              <w:t>评</w:t>
            </w:r>
            <w:r>
              <w:rPr>
                <w:rFonts w:hint="eastAsia"/>
                <w:b/>
                <w:bCs/>
              </w:rPr>
              <w:t xml:space="preserve"> </w:t>
            </w:r>
            <w:r>
              <w:rPr>
                <w:b/>
                <w:bCs/>
              </w:rPr>
              <w:t>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85" w:type="dxa"/>
            <w:bottom w:w="28" w:type="dxa"/>
            <w:right w:w="85" w:type="dxa"/>
          </w:tblCellMar>
        </w:tblPrEx>
        <w:trPr>
          <w:trHeight w:val="546" w:hRule="atLeast"/>
        </w:trPr>
        <w:tc>
          <w:tcPr>
            <w:tcW w:w="525" w:type="pct"/>
            <w:vMerge w:val="continue"/>
            <w:vAlign w:val="center"/>
          </w:tcPr>
          <w:p>
            <w:pPr>
              <w:spacing w:before="97"/>
              <w:jc w:val="center"/>
              <w:rPr>
                <w:b/>
                <w:bCs/>
              </w:rPr>
            </w:pPr>
          </w:p>
        </w:tc>
        <w:tc>
          <w:tcPr>
            <w:tcW w:w="1954" w:type="pct"/>
            <w:vMerge w:val="continue"/>
            <w:vAlign w:val="center"/>
          </w:tcPr>
          <w:p>
            <w:pPr>
              <w:spacing w:before="97"/>
              <w:rPr>
                <w:b/>
                <w:bCs/>
              </w:rPr>
            </w:pPr>
          </w:p>
        </w:tc>
        <w:tc>
          <w:tcPr>
            <w:tcW w:w="941" w:type="pct"/>
            <w:vAlign w:val="center"/>
          </w:tcPr>
          <w:p>
            <w:pPr>
              <w:spacing w:before="97"/>
              <w:jc w:val="center"/>
              <w:rPr>
                <w:b/>
                <w:bCs/>
                <w:spacing w:val="2"/>
              </w:rPr>
            </w:pPr>
            <w:r>
              <w:rPr>
                <w:b/>
                <w:bCs/>
              </w:rPr>
              <w:t>很满意</w:t>
            </w:r>
            <w:r>
              <w:rPr>
                <w:rFonts w:hint="eastAsia"/>
                <w:b/>
                <w:bCs/>
              </w:rPr>
              <w:t>（10分）</w:t>
            </w:r>
          </w:p>
        </w:tc>
        <w:tc>
          <w:tcPr>
            <w:tcW w:w="741" w:type="pct"/>
            <w:vAlign w:val="center"/>
          </w:tcPr>
          <w:p>
            <w:pPr>
              <w:spacing w:before="97"/>
              <w:jc w:val="center"/>
              <w:rPr>
                <w:b/>
                <w:bCs/>
              </w:rPr>
            </w:pPr>
            <w:r>
              <w:rPr>
                <w:b/>
                <w:bCs/>
              </w:rPr>
              <w:t>满意</w:t>
            </w:r>
            <w:r>
              <w:rPr>
                <w:rFonts w:hint="eastAsia"/>
                <w:b/>
                <w:bCs/>
              </w:rPr>
              <w:t>（8分）</w:t>
            </w:r>
          </w:p>
        </w:tc>
        <w:tc>
          <w:tcPr>
            <w:tcW w:w="840" w:type="pct"/>
            <w:vAlign w:val="center"/>
          </w:tcPr>
          <w:p>
            <w:pPr>
              <w:spacing w:before="97"/>
              <w:jc w:val="center"/>
              <w:rPr>
                <w:b/>
                <w:bCs/>
                <w:spacing w:val="2"/>
              </w:rPr>
            </w:pPr>
            <w:r>
              <w:rPr>
                <w:b/>
                <w:bCs/>
              </w:rPr>
              <w:t>不满意</w:t>
            </w:r>
            <w:r>
              <w:rPr>
                <w:rFonts w:hint="eastAsia"/>
                <w:b/>
                <w:bCs/>
              </w:rPr>
              <w:t>（5分）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85" w:type="dxa"/>
            <w:bottom w:w="28" w:type="dxa"/>
            <w:right w:w="85" w:type="dxa"/>
          </w:tblCellMar>
        </w:tblPrEx>
        <w:trPr>
          <w:trHeight w:val="597" w:hRule="atLeast"/>
        </w:trPr>
        <w:tc>
          <w:tcPr>
            <w:tcW w:w="525" w:type="pct"/>
            <w:vMerge w:val="restart"/>
            <w:vAlign w:val="center"/>
          </w:tcPr>
          <w:p>
            <w:pPr>
              <w:spacing w:before="97"/>
              <w:jc w:val="center"/>
            </w:pPr>
            <w:r>
              <w:t>打印设备</w:t>
            </w:r>
          </w:p>
        </w:tc>
        <w:tc>
          <w:tcPr>
            <w:tcW w:w="1954" w:type="pct"/>
            <w:vAlign w:val="center"/>
          </w:tcPr>
          <w:p>
            <w:pPr>
              <w:spacing w:before="97"/>
            </w:pPr>
            <w:r>
              <w:t>打印设备是否能满足您科室正常工作？</w:t>
            </w:r>
          </w:p>
        </w:tc>
        <w:tc>
          <w:tcPr>
            <w:tcW w:w="941" w:type="pct"/>
            <w:vAlign w:val="center"/>
          </w:tcPr>
          <w:p>
            <w:pPr>
              <w:spacing w:before="97"/>
            </w:pPr>
          </w:p>
        </w:tc>
        <w:tc>
          <w:tcPr>
            <w:tcW w:w="741" w:type="pct"/>
            <w:vAlign w:val="center"/>
          </w:tcPr>
          <w:p>
            <w:pPr>
              <w:spacing w:before="97"/>
            </w:pPr>
          </w:p>
        </w:tc>
        <w:tc>
          <w:tcPr>
            <w:tcW w:w="840" w:type="pct"/>
            <w:vAlign w:val="center"/>
          </w:tcPr>
          <w:p>
            <w:pPr>
              <w:spacing w:before="97"/>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85" w:type="dxa"/>
            <w:bottom w:w="28" w:type="dxa"/>
            <w:right w:w="85" w:type="dxa"/>
          </w:tblCellMar>
        </w:tblPrEx>
        <w:trPr>
          <w:trHeight w:val="597" w:hRule="atLeast"/>
        </w:trPr>
        <w:tc>
          <w:tcPr>
            <w:tcW w:w="525" w:type="pct"/>
            <w:vMerge w:val="continue"/>
            <w:vAlign w:val="center"/>
          </w:tcPr>
          <w:p>
            <w:pPr>
              <w:spacing w:before="97"/>
              <w:jc w:val="center"/>
            </w:pPr>
          </w:p>
        </w:tc>
        <w:tc>
          <w:tcPr>
            <w:tcW w:w="1954" w:type="pct"/>
            <w:vAlign w:val="center"/>
          </w:tcPr>
          <w:p>
            <w:pPr>
              <w:spacing w:before="97"/>
            </w:pPr>
            <w:r>
              <w:t>科室内的打印设备是否运行稳定？</w:t>
            </w:r>
          </w:p>
        </w:tc>
        <w:tc>
          <w:tcPr>
            <w:tcW w:w="941" w:type="pct"/>
            <w:vAlign w:val="center"/>
          </w:tcPr>
          <w:p>
            <w:pPr>
              <w:spacing w:before="97"/>
            </w:pPr>
          </w:p>
        </w:tc>
        <w:tc>
          <w:tcPr>
            <w:tcW w:w="741" w:type="pct"/>
            <w:vAlign w:val="center"/>
          </w:tcPr>
          <w:p>
            <w:pPr>
              <w:spacing w:before="97"/>
            </w:pPr>
          </w:p>
        </w:tc>
        <w:tc>
          <w:tcPr>
            <w:tcW w:w="840" w:type="pct"/>
            <w:vAlign w:val="center"/>
          </w:tcPr>
          <w:p>
            <w:pPr>
              <w:spacing w:before="97"/>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85" w:type="dxa"/>
            <w:bottom w:w="28" w:type="dxa"/>
            <w:right w:w="85" w:type="dxa"/>
          </w:tblCellMar>
        </w:tblPrEx>
        <w:trPr>
          <w:trHeight w:val="597" w:hRule="atLeast"/>
        </w:trPr>
        <w:tc>
          <w:tcPr>
            <w:tcW w:w="525" w:type="pct"/>
            <w:vMerge w:val="continue"/>
            <w:vAlign w:val="center"/>
          </w:tcPr>
          <w:p>
            <w:pPr>
              <w:spacing w:before="97"/>
              <w:jc w:val="center"/>
            </w:pPr>
          </w:p>
        </w:tc>
        <w:tc>
          <w:tcPr>
            <w:tcW w:w="1954" w:type="pct"/>
            <w:vAlign w:val="center"/>
          </w:tcPr>
          <w:p>
            <w:pPr>
              <w:spacing w:before="97"/>
            </w:pPr>
            <w:r>
              <w:t>设备申请流程是否合理？</w:t>
            </w:r>
          </w:p>
        </w:tc>
        <w:tc>
          <w:tcPr>
            <w:tcW w:w="941" w:type="pct"/>
            <w:vAlign w:val="center"/>
          </w:tcPr>
          <w:p>
            <w:pPr>
              <w:spacing w:before="97"/>
            </w:pPr>
          </w:p>
        </w:tc>
        <w:tc>
          <w:tcPr>
            <w:tcW w:w="741" w:type="pct"/>
            <w:vAlign w:val="center"/>
          </w:tcPr>
          <w:p>
            <w:pPr>
              <w:spacing w:before="97"/>
            </w:pPr>
          </w:p>
        </w:tc>
        <w:tc>
          <w:tcPr>
            <w:tcW w:w="840" w:type="pct"/>
            <w:vAlign w:val="center"/>
          </w:tcPr>
          <w:p>
            <w:pPr>
              <w:spacing w:before="97"/>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85" w:type="dxa"/>
            <w:bottom w:w="28" w:type="dxa"/>
            <w:right w:w="85" w:type="dxa"/>
          </w:tblCellMar>
        </w:tblPrEx>
        <w:trPr>
          <w:trHeight w:val="597" w:hRule="atLeast"/>
        </w:trPr>
        <w:tc>
          <w:tcPr>
            <w:tcW w:w="525" w:type="pct"/>
            <w:vMerge w:val="restart"/>
            <w:vAlign w:val="center"/>
          </w:tcPr>
          <w:p>
            <w:pPr>
              <w:spacing w:before="97"/>
              <w:jc w:val="center"/>
            </w:pPr>
            <w:r>
              <w:t>打印耗材</w:t>
            </w:r>
          </w:p>
        </w:tc>
        <w:tc>
          <w:tcPr>
            <w:tcW w:w="1954" w:type="pct"/>
            <w:vAlign w:val="center"/>
          </w:tcPr>
          <w:p>
            <w:pPr>
              <w:spacing w:before="97"/>
            </w:pPr>
            <w:r>
              <w:t>耗材的质量是否满足您的使用需求？</w:t>
            </w:r>
          </w:p>
        </w:tc>
        <w:tc>
          <w:tcPr>
            <w:tcW w:w="941" w:type="pct"/>
            <w:vAlign w:val="center"/>
          </w:tcPr>
          <w:p>
            <w:pPr>
              <w:spacing w:before="97"/>
            </w:pPr>
          </w:p>
        </w:tc>
        <w:tc>
          <w:tcPr>
            <w:tcW w:w="741" w:type="pct"/>
            <w:vAlign w:val="center"/>
          </w:tcPr>
          <w:p>
            <w:pPr>
              <w:spacing w:before="97"/>
            </w:pPr>
          </w:p>
        </w:tc>
        <w:tc>
          <w:tcPr>
            <w:tcW w:w="840" w:type="pct"/>
            <w:vAlign w:val="center"/>
          </w:tcPr>
          <w:p>
            <w:pPr>
              <w:spacing w:before="97"/>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85" w:type="dxa"/>
            <w:bottom w:w="28" w:type="dxa"/>
            <w:right w:w="85" w:type="dxa"/>
          </w:tblCellMar>
        </w:tblPrEx>
        <w:trPr>
          <w:trHeight w:val="597" w:hRule="atLeast"/>
        </w:trPr>
        <w:tc>
          <w:tcPr>
            <w:tcW w:w="525" w:type="pct"/>
            <w:vMerge w:val="continue"/>
            <w:vAlign w:val="center"/>
          </w:tcPr>
          <w:p>
            <w:pPr>
              <w:spacing w:before="97"/>
              <w:jc w:val="center"/>
            </w:pPr>
          </w:p>
        </w:tc>
        <w:tc>
          <w:tcPr>
            <w:tcW w:w="1954" w:type="pct"/>
            <w:vAlign w:val="center"/>
          </w:tcPr>
          <w:p>
            <w:pPr>
              <w:spacing w:before="97"/>
            </w:pPr>
            <w:r>
              <w:t>打印耗材是否能够及时供应？</w:t>
            </w:r>
          </w:p>
        </w:tc>
        <w:tc>
          <w:tcPr>
            <w:tcW w:w="941" w:type="pct"/>
            <w:vAlign w:val="center"/>
          </w:tcPr>
          <w:p>
            <w:pPr>
              <w:spacing w:before="97"/>
            </w:pPr>
          </w:p>
        </w:tc>
        <w:tc>
          <w:tcPr>
            <w:tcW w:w="741" w:type="pct"/>
            <w:vAlign w:val="center"/>
          </w:tcPr>
          <w:p>
            <w:pPr>
              <w:spacing w:before="97"/>
            </w:pPr>
          </w:p>
        </w:tc>
        <w:tc>
          <w:tcPr>
            <w:tcW w:w="840" w:type="pct"/>
            <w:vAlign w:val="center"/>
          </w:tcPr>
          <w:p>
            <w:pPr>
              <w:spacing w:before="97"/>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85" w:type="dxa"/>
            <w:bottom w:w="28" w:type="dxa"/>
            <w:right w:w="85" w:type="dxa"/>
          </w:tblCellMar>
        </w:tblPrEx>
        <w:trPr>
          <w:trHeight w:val="597" w:hRule="atLeast"/>
        </w:trPr>
        <w:tc>
          <w:tcPr>
            <w:tcW w:w="525" w:type="pct"/>
            <w:vMerge w:val="continue"/>
            <w:vAlign w:val="center"/>
          </w:tcPr>
          <w:p>
            <w:pPr>
              <w:spacing w:before="97"/>
              <w:jc w:val="center"/>
            </w:pPr>
          </w:p>
        </w:tc>
        <w:tc>
          <w:tcPr>
            <w:tcW w:w="1954" w:type="pct"/>
            <w:vAlign w:val="center"/>
          </w:tcPr>
          <w:p>
            <w:pPr>
              <w:spacing w:before="97"/>
            </w:pPr>
            <w:r>
              <w:t>耗材申领流程是否合理？</w:t>
            </w:r>
          </w:p>
        </w:tc>
        <w:tc>
          <w:tcPr>
            <w:tcW w:w="941" w:type="pct"/>
            <w:vAlign w:val="center"/>
          </w:tcPr>
          <w:p>
            <w:pPr>
              <w:spacing w:before="97"/>
            </w:pPr>
          </w:p>
        </w:tc>
        <w:tc>
          <w:tcPr>
            <w:tcW w:w="741" w:type="pct"/>
            <w:vAlign w:val="center"/>
          </w:tcPr>
          <w:p>
            <w:pPr>
              <w:spacing w:before="97"/>
            </w:pPr>
          </w:p>
        </w:tc>
        <w:tc>
          <w:tcPr>
            <w:tcW w:w="840" w:type="pct"/>
            <w:vAlign w:val="center"/>
          </w:tcPr>
          <w:p>
            <w:pPr>
              <w:spacing w:before="97"/>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85" w:type="dxa"/>
            <w:bottom w:w="28" w:type="dxa"/>
            <w:right w:w="85" w:type="dxa"/>
          </w:tblCellMar>
        </w:tblPrEx>
        <w:trPr>
          <w:trHeight w:val="597" w:hRule="atLeast"/>
        </w:trPr>
        <w:tc>
          <w:tcPr>
            <w:tcW w:w="525" w:type="pct"/>
            <w:vMerge w:val="restart"/>
            <w:vAlign w:val="center"/>
          </w:tcPr>
          <w:p>
            <w:pPr>
              <w:spacing w:before="97"/>
              <w:jc w:val="center"/>
            </w:pPr>
            <w:r>
              <w:t>技术服务</w:t>
            </w:r>
          </w:p>
        </w:tc>
        <w:tc>
          <w:tcPr>
            <w:tcW w:w="1954" w:type="pct"/>
            <w:vAlign w:val="center"/>
          </w:tcPr>
          <w:p>
            <w:pPr>
              <w:spacing w:before="97"/>
            </w:pPr>
            <w:r>
              <w:t>工程师的服务态度是否满意？</w:t>
            </w:r>
          </w:p>
        </w:tc>
        <w:tc>
          <w:tcPr>
            <w:tcW w:w="941" w:type="pct"/>
            <w:vAlign w:val="center"/>
          </w:tcPr>
          <w:p>
            <w:pPr>
              <w:spacing w:before="97"/>
            </w:pPr>
          </w:p>
        </w:tc>
        <w:tc>
          <w:tcPr>
            <w:tcW w:w="741" w:type="pct"/>
            <w:vAlign w:val="center"/>
          </w:tcPr>
          <w:p>
            <w:pPr>
              <w:spacing w:before="97"/>
            </w:pPr>
          </w:p>
        </w:tc>
        <w:tc>
          <w:tcPr>
            <w:tcW w:w="840" w:type="pct"/>
            <w:vAlign w:val="center"/>
          </w:tcPr>
          <w:p>
            <w:pPr>
              <w:spacing w:before="97"/>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85" w:type="dxa"/>
            <w:bottom w:w="28" w:type="dxa"/>
            <w:right w:w="85" w:type="dxa"/>
          </w:tblCellMar>
        </w:tblPrEx>
        <w:trPr>
          <w:trHeight w:val="597" w:hRule="atLeast"/>
        </w:trPr>
        <w:tc>
          <w:tcPr>
            <w:tcW w:w="525" w:type="pct"/>
            <w:vMerge w:val="continue"/>
            <w:vAlign w:val="center"/>
          </w:tcPr>
          <w:p>
            <w:pPr>
              <w:spacing w:before="97"/>
            </w:pPr>
          </w:p>
        </w:tc>
        <w:tc>
          <w:tcPr>
            <w:tcW w:w="1954" w:type="pct"/>
            <w:vAlign w:val="center"/>
          </w:tcPr>
          <w:p>
            <w:pPr>
              <w:spacing w:before="97"/>
            </w:pPr>
            <w:r>
              <w:t>报修及服务响应是否及时有效？</w:t>
            </w:r>
          </w:p>
        </w:tc>
        <w:tc>
          <w:tcPr>
            <w:tcW w:w="941" w:type="pct"/>
            <w:vAlign w:val="center"/>
          </w:tcPr>
          <w:p>
            <w:pPr>
              <w:spacing w:before="97"/>
            </w:pPr>
          </w:p>
        </w:tc>
        <w:tc>
          <w:tcPr>
            <w:tcW w:w="741" w:type="pct"/>
            <w:vAlign w:val="center"/>
          </w:tcPr>
          <w:p>
            <w:pPr>
              <w:spacing w:before="97"/>
            </w:pPr>
          </w:p>
        </w:tc>
        <w:tc>
          <w:tcPr>
            <w:tcW w:w="840" w:type="pct"/>
            <w:vAlign w:val="center"/>
          </w:tcPr>
          <w:p>
            <w:pPr>
              <w:spacing w:before="97"/>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85" w:type="dxa"/>
            <w:bottom w:w="28" w:type="dxa"/>
            <w:right w:w="85" w:type="dxa"/>
          </w:tblCellMar>
        </w:tblPrEx>
        <w:trPr>
          <w:trHeight w:val="597" w:hRule="atLeast"/>
        </w:trPr>
        <w:tc>
          <w:tcPr>
            <w:tcW w:w="525" w:type="pct"/>
            <w:vMerge w:val="continue"/>
            <w:vAlign w:val="center"/>
          </w:tcPr>
          <w:p>
            <w:pPr>
              <w:spacing w:before="97"/>
            </w:pPr>
          </w:p>
        </w:tc>
        <w:tc>
          <w:tcPr>
            <w:tcW w:w="1954" w:type="pct"/>
            <w:vAlign w:val="center"/>
          </w:tcPr>
          <w:p>
            <w:pPr>
              <w:spacing w:before="97"/>
            </w:pPr>
            <w:r>
              <w:t>工程师的技术维修能力是否满意？</w:t>
            </w:r>
          </w:p>
        </w:tc>
        <w:tc>
          <w:tcPr>
            <w:tcW w:w="941" w:type="pct"/>
            <w:vAlign w:val="center"/>
          </w:tcPr>
          <w:p>
            <w:pPr>
              <w:spacing w:before="97"/>
            </w:pPr>
          </w:p>
        </w:tc>
        <w:tc>
          <w:tcPr>
            <w:tcW w:w="741" w:type="pct"/>
            <w:vAlign w:val="center"/>
          </w:tcPr>
          <w:p>
            <w:pPr>
              <w:spacing w:before="97"/>
            </w:pPr>
          </w:p>
        </w:tc>
        <w:tc>
          <w:tcPr>
            <w:tcW w:w="840" w:type="pct"/>
            <w:vAlign w:val="center"/>
          </w:tcPr>
          <w:p>
            <w:pPr>
              <w:spacing w:before="97"/>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85" w:type="dxa"/>
            <w:bottom w:w="28" w:type="dxa"/>
            <w:right w:w="85" w:type="dxa"/>
          </w:tblCellMar>
        </w:tblPrEx>
        <w:trPr>
          <w:trHeight w:val="597" w:hRule="atLeast"/>
        </w:trPr>
        <w:tc>
          <w:tcPr>
            <w:tcW w:w="525" w:type="pct"/>
            <w:vMerge w:val="continue"/>
            <w:vAlign w:val="center"/>
          </w:tcPr>
          <w:p>
            <w:pPr>
              <w:spacing w:before="97"/>
            </w:pPr>
          </w:p>
        </w:tc>
        <w:tc>
          <w:tcPr>
            <w:tcW w:w="1954" w:type="pct"/>
            <w:vAlign w:val="center"/>
          </w:tcPr>
          <w:p>
            <w:pPr>
              <w:spacing w:before="97"/>
            </w:pPr>
            <w:r>
              <w:t>报修方式是否方便合理？</w:t>
            </w:r>
          </w:p>
        </w:tc>
        <w:tc>
          <w:tcPr>
            <w:tcW w:w="941" w:type="pct"/>
            <w:vAlign w:val="center"/>
          </w:tcPr>
          <w:p>
            <w:pPr>
              <w:spacing w:before="97"/>
            </w:pPr>
          </w:p>
        </w:tc>
        <w:tc>
          <w:tcPr>
            <w:tcW w:w="741" w:type="pct"/>
            <w:vAlign w:val="center"/>
          </w:tcPr>
          <w:p>
            <w:pPr>
              <w:spacing w:before="97"/>
            </w:pPr>
          </w:p>
        </w:tc>
        <w:tc>
          <w:tcPr>
            <w:tcW w:w="840" w:type="pct"/>
            <w:vAlign w:val="center"/>
          </w:tcPr>
          <w:p>
            <w:pPr>
              <w:spacing w:before="97"/>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85" w:type="dxa"/>
            <w:bottom w:w="28" w:type="dxa"/>
            <w:right w:w="85" w:type="dxa"/>
          </w:tblCellMar>
        </w:tblPrEx>
        <w:trPr>
          <w:trHeight w:val="597" w:hRule="atLeast"/>
        </w:trPr>
        <w:tc>
          <w:tcPr>
            <w:tcW w:w="2479" w:type="pct"/>
            <w:gridSpan w:val="2"/>
            <w:vAlign w:val="center"/>
          </w:tcPr>
          <w:p>
            <w:pPr>
              <w:spacing w:before="97"/>
              <w:jc w:val="center"/>
              <w:rPr>
                <w:b/>
                <w:bCs/>
              </w:rPr>
            </w:pPr>
            <w:r>
              <w:rPr>
                <w:rFonts w:hint="eastAsia"/>
                <w:b/>
                <w:bCs/>
              </w:rPr>
              <w:t>总分</w:t>
            </w:r>
          </w:p>
        </w:tc>
        <w:tc>
          <w:tcPr>
            <w:tcW w:w="941" w:type="pct"/>
            <w:vAlign w:val="center"/>
          </w:tcPr>
          <w:p>
            <w:pPr>
              <w:spacing w:before="97"/>
            </w:pPr>
          </w:p>
        </w:tc>
        <w:tc>
          <w:tcPr>
            <w:tcW w:w="741" w:type="pct"/>
            <w:vAlign w:val="center"/>
          </w:tcPr>
          <w:p>
            <w:pPr>
              <w:spacing w:before="97"/>
            </w:pPr>
          </w:p>
        </w:tc>
        <w:tc>
          <w:tcPr>
            <w:tcW w:w="840" w:type="pct"/>
            <w:vAlign w:val="center"/>
          </w:tcPr>
          <w:p>
            <w:pPr>
              <w:spacing w:before="97"/>
            </w:pPr>
          </w:p>
        </w:tc>
      </w:tr>
    </w:tbl>
    <w:p>
      <w:pPr>
        <w:spacing w:before="97"/>
      </w:pPr>
    </w:p>
    <w:p>
      <w:pPr>
        <w:spacing w:before="97"/>
      </w:pPr>
    </w:p>
    <w:p>
      <w:pPr>
        <w:widowControl/>
        <w:spacing w:after="160" w:line="278" w:lineRule="auto"/>
        <w:jc w:val="left"/>
      </w:pPr>
      <w:r>
        <w:br w:type="page"/>
      </w:r>
    </w:p>
    <w:p>
      <w:pPr>
        <w:spacing w:before="97"/>
      </w:pPr>
      <w:bookmarkStart w:id="3" w:name="_GoBack"/>
      <w:bookmarkEnd w:id="3"/>
    </w:p>
    <w:sectPr>
      <w:pgSz w:w="11906" w:h="16838"/>
      <w:pgMar w:top="1440" w:right="1080" w:bottom="1440" w:left="1080" w:header="851" w:footer="992" w:gutter="0"/>
      <w:cols w:space="425" w:num="1"/>
      <w:docGrid w:type="lines" w:linePitch="326"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Times New Roman (标题 CS)">
    <w:altName w:val="宋体"/>
    <w:panose1 w:val="020B0604020202020204"/>
    <w:charset w:val="86"/>
    <w:family w:val="roman"/>
    <w:pitch w:val="default"/>
    <w:sig w:usb0="00000000" w:usb1="00000000" w:usb2="00000000" w:usb3="00000000" w:csb0="00000000" w:csb1="00000000"/>
  </w:font>
  <w:font w:name="等线 Light">
    <w:panose1 w:val="02010600030101010101"/>
    <w:charset w:val="86"/>
    <w:family w:val="auto"/>
    <w:pitch w:val="default"/>
    <w:sig w:usb0="A00002BF" w:usb1="38CF7CFA" w:usb2="00000016" w:usb3="00000000" w:csb0="0004000F" w:csb1="00000000"/>
  </w:font>
  <w:font w:name="Segoe UI">
    <w:panose1 w:val="020B0502040204020203"/>
    <w:charset w:val="00"/>
    <w:family w:val="swiss"/>
    <w:pitch w:val="default"/>
    <w:sig w:usb0="E4002EFF" w:usb1="C000E47F"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20"/>
  <w:drawingGridVerticalSpacing w:val="163"/>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7DBB"/>
    <w:rsid w:val="001F7DBB"/>
    <w:rsid w:val="00291E4C"/>
    <w:rsid w:val="00547AFE"/>
    <w:rsid w:val="00555F4E"/>
    <w:rsid w:val="007C13B0"/>
    <w:rsid w:val="007C2FDC"/>
    <w:rsid w:val="007F0380"/>
    <w:rsid w:val="00851C46"/>
    <w:rsid w:val="00A12B8A"/>
    <w:rsid w:val="00AE1428"/>
    <w:rsid w:val="00CE0466"/>
    <w:rsid w:val="00D2171B"/>
    <w:rsid w:val="00D3691E"/>
    <w:rsid w:val="00D64772"/>
    <w:rsid w:val="00E91E6C"/>
    <w:rsid w:val="00EE743C"/>
    <w:rsid w:val="00F021E1"/>
    <w:rsid w:val="469E4A3F"/>
    <w:rsid w:val="5A8E1C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name="Normal Indent"/>
    <w:lsdException w:uiPriority="99" w:name="footnote text"/>
    <w:lsdException w:qFormat="1" w:unhideWhenUsed="0" w:uiPriority="0" w:semiHidden="0"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unhideWhenUsed="0" w:uiPriority="22" w:semiHidden="0" w:name="Strong"/>
    <w:lsdException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0" w:line="240" w:lineRule="auto"/>
      <w:jc w:val="both"/>
    </w:pPr>
    <w:rPr>
      <w:rFonts w:ascii="Times New Roman" w:hAnsi="Times New Roman" w:eastAsia="宋体" w:cs="Times New Roman"/>
      <w:kern w:val="2"/>
      <w:sz w:val="21"/>
      <w:szCs w:val="24"/>
      <w:lang w:val="en-US" w:eastAsia="zh-CN" w:bidi="ar-SA"/>
      <w14:ligatures w14:val="none"/>
    </w:rPr>
  </w:style>
  <w:style w:type="paragraph" w:styleId="2">
    <w:name w:val="heading 1"/>
    <w:basedOn w:val="1"/>
    <w:next w:val="1"/>
    <w:link w:val="21"/>
    <w:qFormat/>
    <w:uiPriority w:val="9"/>
    <w:pPr>
      <w:keepNext/>
      <w:keepLines/>
      <w:outlineLvl w:val="0"/>
    </w:pPr>
    <w:rPr>
      <w:rFonts w:cs="Times New Roman (标题 CS)"/>
      <w:b/>
      <w:color w:val="000000" w:themeColor="text1"/>
      <w:sz w:val="36"/>
      <w:szCs w:val="48"/>
      <w14:textFill>
        <w14:solidFill>
          <w14:schemeClr w14:val="tx1"/>
        </w14:solidFill>
      </w14:textFill>
    </w:rPr>
  </w:style>
  <w:style w:type="paragraph" w:styleId="3">
    <w:name w:val="heading 2"/>
    <w:basedOn w:val="1"/>
    <w:next w:val="1"/>
    <w:link w:val="22"/>
    <w:unhideWhenUsed/>
    <w:qFormat/>
    <w:uiPriority w:val="9"/>
    <w:pPr>
      <w:keepNext/>
      <w:keepLines/>
      <w:outlineLvl w:val="1"/>
    </w:pPr>
    <w:rPr>
      <w:rFonts w:cs="Times New Roman (标题 CS)"/>
      <w:b/>
      <w:color w:val="000000" w:themeColor="text1"/>
      <w:sz w:val="32"/>
      <w:szCs w:val="40"/>
      <w14:textFill>
        <w14:solidFill>
          <w14:schemeClr w14:val="tx1"/>
        </w14:solidFill>
      </w14:textFill>
    </w:rPr>
  </w:style>
  <w:style w:type="paragraph" w:styleId="4">
    <w:name w:val="heading 3"/>
    <w:basedOn w:val="1"/>
    <w:next w:val="1"/>
    <w:link w:val="23"/>
    <w:unhideWhenUsed/>
    <w:qFormat/>
    <w:uiPriority w:val="9"/>
    <w:pPr>
      <w:keepNext/>
      <w:keepLines/>
      <w:outlineLvl w:val="2"/>
    </w:pPr>
    <w:rPr>
      <w:rFonts w:cs="Times New Roman (标题 CS)"/>
      <w:b/>
      <w:color w:val="000000" w:themeColor="text1"/>
      <w:sz w:val="30"/>
      <w:szCs w:val="32"/>
      <w14:textFill>
        <w14:solidFill>
          <w14:schemeClr w14:val="tx1"/>
        </w14:solidFill>
      </w14:textFill>
    </w:rPr>
  </w:style>
  <w:style w:type="paragraph" w:styleId="5">
    <w:name w:val="heading 4"/>
    <w:basedOn w:val="1"/>
    <w:next w:val="1"/>
    <w:link w:val="24"/>
    <w:unhideWhenUsed/>
    <w:qFormat/>
    <w:uiPriority w:val="9"/>
    <w:pPr>
      <w:keepNext/>
      <w:keepLines/>
      <w:outlineLvl w:val="3"/>
    </w:pPr>
    <w:rPr>
      <w:rFonts w:cs="Times New Roman (标题 CS)"/>
      <w:b/>
      <w:color w:val="000000" w:themeColor="text1"/>
      <w:sz w:val="28"/>
      <w:szCs w:val="28"/>
      <w14:textFill>
        <w14:solidFill>
          <w14:schemeClr w14:val="tx1"/>
        </w14:solidFill>
      </w14:textFill>
    </w:rPr>
  </w:style>
  <w:style w:type="paragraph" w:styleId="6">
    <w:name w:val="heading 5"/>
    <w:basedOn w:val="1"/>
    <w:next w:val="1"/>
    <w:link w:val="25"/>
    <w:semiHidden/>
    <w:unhideWhenUsed/>
    <w:uiPriority w:val="9"/>
    <w:pPr>
      <w:keepNext/>
      <w:keepLines/>
      <w:spacing w:before="80" w:after="40"/>
      <w:outlineLvl w:val="4"/>
    </w:pPr>
    <w:rPr>
      <w:rFonts w:cstheme="majorBidi"/>
      <w:color w:val="104862" w:themeColor="accent1" w:themeShade="BF"/>
    </w:rPr>
  </w:style>
  <w:style w:type="paragraph" w:styleId="7">
    <w:name w:val="heading 6"/>
    <w:basedOn w:val="1"/>
    <w:next w:val="1"/>
    <w:link w:val="26"/>
    <w:semiHidden/>
    <w:unhideWhenUsed/>
    <w:qFormat/>
    <w:uiPriority w:val="9"/>
    <w:pPr>
      <w:keepNext/>
      <w:keepLines/>
      <w:spacing w:before="40"/>
      <w:outlineLvl w:val="5"/>
    </w:pPr>
    <w:rPr>
      <w:rFonts w:cstheme="majorBidi"/>
      <w:b/>
      <w:bCs/>
      <w:color w:val="104862" w:themeColor="accent1" w:themeShade="BF"/>
    </w:rPr>
  </w:style>
  <w:style w:type="paragraph" w:styleId="8">
    <w:name w:val="heading 7"/>
    <w:basedOn w:val="1"/>
    <w:next w:val="1"/>
    <w:link w:val="27"/>
    <w:semiHidden/>
    <w:unhideWhenUsed/>
    <w:qFormat/>
    <w:uiPriority w:val="9"/>
    <w:pPr>
      <w:keepNext/>
      <w:keepLines/>
      <w:spacing w:before="4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8"/>
    <w:semiHidden/>
    <w:unhideWhenUsed/>
    <w:qFormat/>
    <w:uiPriority w:val="9"/>
    <w:pPr>
      <w:keepNext/>
      <w:keepLines/>
      <w:outlineLvl w:val="7"/>
    </w:pPr>
    <w:rPr>
      <w:rFonts w:cstheme="majorBidi"/>
      <w:color w:val="595959" w:themeColor="text1" w:themeTint="A6"/>
      <w14:textFill>
        <w14:solidFill>
          <w14:schemeClr w14:val="tx1">
            <w14:lumMod w14:val="65000"/>
            <w14:lumOff w14:val="35000"/>
          </w14:schemeClr>
        </w14:solidFill>
      </w14:textFill>
    </w:rPr>
  </w:style>
  <w:style w:type="paragraph" w:styleId="10">
    <w:name w:val="heading 9"/>
    <w:basedOn w:val="1"/>
    <w:next w:val="1"/>
    <w:link w:val="29"/>
    <w:semiHidden/>
    <w:unhideWhenUsed/>
    <w:qFormat/>
    <w:uiPriority w:val="9"/>
    <w:pPr>
      <w:keepNext/>
      <w:keepLines/>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11">
    <w:name w:val="Normal Indent"/>
    <w:basedOn w:val="1"/>
    <w:semiHidden/>
    <w:unhideWhenUsed/>
    <w:qFormat/>
    <w:uiPriority w:val="99"/>
    <w:pPr>
      <w:ind w:firstLine="420" w:firstLineChars="200"/>
    </w:pPr>
  </w:style>
  <w:style w:type="paragraph" w:styleId="12">
    <w:name w:val="annotation text"/>
    <w:basedOn w:val="1"/>
    <w:link w:val="39"/>
    <w:qFormat/>
    <w:uiPriority w:val="0"/>
    <w:pPr>
      <w:jc w:val="left"/>
    </w:pPr>
  </w:style>
  <w:style w:type="paragraph" w:styleId="13">
    <w:name w:val="Body Text"/>
    <w:basedOn w:val="1"/>
    <w:link w:val="43"/>
    <w:unhideWhenUsed/>
    <w:qFormat/>
    <w:uiPriority w:val="0"/>
    <w:pPr>
      <w:spacing w:after="120"/>
    </w:pPr>
  </w:style>
  <w:style w:type="paragraph" w:styleId="14">
    <w:name w:val="Subtitle"/>
    <w:basedOn w:val="1"/>
    <w:next w:val="1"/>
    <w:link w:val="31"/>
    <w:qFormat/>
    <w:uiPriority w:val="11"/>
    <w:pPr>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5">
    <w:name w:val="Normal (Web)"/>
    <w:basedOn w:val="1"/>
    <w:qFormat/>
    <w:uiPriority w:val="0"/>
    <w:pPr>
      <w:widowControl/>
      <w:spacing w:before="100" w:beforeAutospacing="1" w:after="100" w:afterAutospacing="1"/>
      <w:jc w:val="left"/>
    </w:pPr>
    <w:rPr>
      <w:rFonts w:ascii="宋体" w:hAnsi="宋体"/>
      <w:kern w:val="0"/>
      <w:sz w:val="24"/>
    </w:rPr>
  </w:style>
  <w:style w:type="paragraph" w:styleId="16">
    <w:name w:val="Title"/>
    <w:basedOn w:val="1"/>
    <w:next w:val="1"/>
    <w:link w:val="30"/>
    <w:qFormat/>
    <w:uiPriority w:val="10"/>
    <w:pPr>
      <w:spacing w:after="80"/>
      <w:contextualSpacing/>
      <w:jc w:val="center"/>
    </w:pPr>
    <w:rPr>
      <w:rFonts w:asciiTheme="majorHAnsi" w:hAnsiTheme="majorHAnsi" w:eastAsiaTheme="majorEastAsia" w:cstheme="majorBidi"/>
      <w:spacing w:val="-10"/>
      <w:kern w:val="28"/>
      <w:sz w:val="56"/>
      <w:szCs w:val="56"/>
    </w:rPr>
  </w:style>
  <w:style w:type="table" w:styleId="18">
    <w:name w:val="Table Grid"/>
    <w:basedOn w:val="17"/>
    <w:qFormat/>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annotation reference"/>
    <w:qFormat/>
    <w:uiPriority w:val="0"/>
    <w:rPr>
      <w:sz w:val="21"/>
      <w:szCs w:val="21"/>
    </w:rPr>
  </w:style>
  <w:style w:type="character" w:customStyle="1" w:styleId="21">
    <w:name w:val="标题 1 字符"/>
    <w:basedOn w:val="19"/>
    <w:link w:val="2"/>
    <w:qFormat/>
    <w:uiPriority w:val="9"/>
    <w:rPr>
      <w:rFonts w:ascii="宋体" w:hAnsi="宋体" w:eastAsia="宋体" w:cs="Times New Roman (标题 CS)"/>
      <w:b/>
      <w:color w:val="000000" w:themeColor="text1"/>
      <w:sz w:val="36"/>
      <w:szCs w:val="48"/>
      <w14:textFill>
        <w14:solidFill>
          <w14:schemeClr w14:val="tx1"/>
        </w14:solidFill>
      </w14:textFill>
    </w:rPr>
  </w:style>
  <w:style w:type="character" w:customStyle="1" w:styleId="22">
    <w:name w:val="标题 2 字符"/>
    <w:basedOn w:val="19"/>
    <w:link w:val="3"/>
    <w:qFormat/>
    <w:uiPriority w:val="9"/>
    <w:rPr>
      <w:rFonts w:ascii="宋体" w:hAnsi="宋体" w:eastAsia="宋体" w:cs="Times New Roman (标题 CS)"/>
      <w:b/>
      <w:color w:val="000000" w:themeColor="text1"/>
      <w:sz w:val="32"/>
      <w:szCs w:val="40"/>
      <w14:textFill>
        <w14:solidFill>
          <w14:schemeClr w14:val="tx1"/>
        </w14:solidFill>
      </w14:textFill>
    </w:rPr>
  </w:style>
  <w:style w:type="character" w:customStyle="1" w:styleId="23">
    <w:name w:val="标题 3 字符"/>
    <w:basedOn w:val="19"/>
    <w:link w:val="4"/>
    <w:qFormat/>
    <w:uiPriority w:val="9"/>
    <w:rPr>
      <w:rFonts w:ascii="宋体" w:hAnsi="宋体" w:eastAsia="宋体" w:cs="Times New Roman (标题 CS)"/>
      <w:b/>
      <w:color w:val="000000" w:themeColor="text1"/>
      <w:sz w:val="30"/>
      <w:szCs w:val="32"/>
      <w14:textFill>
        <w14:solidFill>
          <w14:schemeClr w14:val="tx1"/>
        </w14:solidFill>
      </w14:textFill>
    </w:rPr>
  </w:style>
  <w:style w:type="character" w:customStyle="1" w:styleId="24">
    <w:name w:val="标题 4 字符"/>
    <w:basedOn w:val="19"/>
    <w:link w:val="5"/>
    <w:qFormat/>
    <w:uiPriority w:val="9"/>
    <w:rPr>
      <w:rFonts w:ascii="宋体" w:hAnsi="宋体" w:eastAsia="宋体" w:cs="Times New Roman (标题 CS)"/>
      <w:b/>
      <w:color w:val="000000" w:themeColor="text1"/>
      <w:sz w:val="28"/>
      <w:szCs w:val="28"/>
      <w14:textFill>
        <w14:solidFill>
          <w14:schemeClr w14:val="tx1"/>
        </w14:solidFill>
      </w14:textFill>
    </w:rPr>
  </w:style>
  <w:style w:type="character" w:customStyle="1" w:styleId="25">
    <w:name w:val="标题 5 字符"/>
    <w:basedOn w:val="19"/>
    <w:link w:val="6"/>
    <w:semiHidden/>
    <w:qFormat/>
    <w:uiPriority w:val="9"/>
    <w:rPr>
      <w:rFonts w:cstheme="majorBidi"/>
      <w:color w:val="104862" w:themeColor="accent1" w:themeShade="BF"/>
      <w:sz w:val="24"/>
    </w:rPr>
  </w:style>
  <w:style w:type="character" w:customStyle="1" w:styleId="26">
    <w:name w:val="标题 6 字符"/>
    <w:basedOn w:val="19"/>
    <w:link w:val="7"/>
    <w:semiHidden/>
    <w:qFormat/>
    <w:uiPriority w:val="9"/>
    <w:rPr>
      <w:rFonts w:cstheme="majorBidi"/>
      <w:b/>
      <w:bCs/>
      <w:color w:val="104862" w:themeColor="accent1" w:themeShade="BF"/>
    </w:rPr>
  </w:style>
  <w:style w:type="character" w:customStyle="1" w:styleId="27">
    <w:name w:val="标题 7 字符"/>
    <w:basedOn w:val="19"/>
    <w:link w:val="8"/>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8">
    <w:name w:val="标题 8 字符"/>
    <w:basedOn w:val="19"/>
    <w:link w:val="9"/>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9">
    <w:name w:val="标题 9 字符"/>
    <w:basedOn w:val="19"/>
    <w:link w:val="10"/>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30">
    <w:name w:val="标题 字符"/>
    <w:basedOn w:val="19"/>
    <w:link w:val="16"/>
    <w:qFormat/>
    <w:uiPriority w:val="10"/>
    <w:rPr>
      <w:rFonts w:asciiTheme="majorHAnsi" w:hAnsiTheme="majorHAnsi" w:eastAsiaTheme="majorEastAsia" w:cstheme="majorBidi"/>
      <w:spacing w:val="-10"/>
      <w:kern w:val="28"/>
      <w:sz w:val="56"/>
      <w:szCs w:val="56"/>
    </w:rPr>
  </w:style>
  <w:style w:type="character" w:customStyle="1" w:styleId="31">
    <w:name w:val="副标题 字符"/>
    <w:basedOn w:val="19"/>
    <w:link w:val="14"/>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32">
    <w:name w:val="Quote"/>
    <w:basedOn w:val="1"/>
    <w:next w:val="1"/>
    <w:link w:val="33"/>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33">
    <w:name w:val="引用 字符"/>
    <w:basedOn w:val="19"/>
    <w:link w:val="32"/>
    <w:qFormat/>
    <w:uiPriority w:val="29"/>
    <w:rPr>
      <w:i/>
      <w:iCs/>
      <w:color w:val="404040" w:themeColor="text1" w:themeTint="BF"/>
      <w14:textFill>
        <w14:solidFill>
          <w14:schemeClr w14:val="tx1">
            <w14:lumMod w14:val="75000"/>
            <w14:lumOff w14:val="25000"/>
          </w14:schemeClr>
        </w14:solidFill>
      </w14:textFill>
    </w:rPr>
  </w:style>
  <w:style w:type="paragraph" w:styleId="34">
    <w:name w:val="List Paragraph"/>
    <w:basedOn w:val="1"/>
    <w:qFormat/>
    <w:uiPriority w:val="34"/>
    <w:pPr>
      <w:ind w:firstLine="200" w:firstLineChars="200"/>
      <w:contextualSpacing/>
    </w:pPr>
  </w:style>
  <w:style w:type="character" w:customStyle="1" w:styleId="35">
    <w:name w:val="Intense Emphasis"/>
    <w:basedOn w:val="19"/>
    <w:qFormat/>
    <w:uiPriority w:val="21"/>
    <w:rPr>
      <w:i/>
      <w:iCs/>
      <w:color w:val="104862" w:themeColor="accent1" w:themeShade="BF"/>
    </w:rPr>
  </w:style>
  <w:style w:type="paragraph" w:styleId="36">
    <w:name w:val="Intense Quote"/>
    <w:basedOn w:val="1"/>
    <w:next w:val="1"/>
    <w:link w:val="37"/>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104862" w:themeColor="accent1" w:themeShade="BF"/>
    </w:rPr>
  </w:style>
  <w:style w:type="character" w:customStyle="1" w:styleId="37">
    <w:name w:val="明显引用 字符"/>
    <w:basedOn w:val="19"/>
    <w:link w:val="36"/>
    <w:qFormat/>
    <w:uiPriority w:val="30"/>
    <w:rPr>
      <w:i/>
      <w:iCs/>
      <w:color w:val="104862" w:themeColor="accent1" w:themeShade="BF"/>
    </w:rPr>
  </w:style>
  <w:style w:type="character" w:customStyle="1" w:styleId="38">
    <w:name w:val="Intense Reference"/>
    <w:basedOn w:val="19"/>
    <w:qFormat/>
    <w:uiPriority w:val="32"/>
    <w:rPr>
      <w:b/>
      <w:bCs/>
      <w:smallCaps/>
      <w:color w:val="104862" w:themeColor="accent1" w:themeShade="BF"/>
      <w:spacing w:val="5"/>
    </w:rPr>
  </w:style>
  <w:style w:type="character" w:customStyle="1" w:styleId="39">
    <w:name w:val="批注文字 字符"/>
    <w:basedOn w:val="19"/>
    <w:link w:val="12"/>
    <w:uiPriority w:val="0"/>
    <w:rPr>
      <w:rFonts w:ascii="Times New Roman" w:hAnsi="Times New Roman" w:eastAsia="宋体" w:cs="Times New Roman"/>
      <w:sz w:val="21"/>
      <w14:ligatures w14:val="none"/>
    </w:rPr>
  </w:style>
  <w:style w:type="character" w:customStyle="1" w:styleId="40">
    <w:name w:val="无间隔 字符"/>
    <w:link w:val="41"/>
    <w:qFormat/>
    <w:uiPriority w:val="0"/>
    <w:rPr>
      <w:rFonts w:ascii="宋体" w:hAnsi="宋体"/>
      <w:sz w:val="21"/>
    </w:rPr>
  </w:style>
  <w:style w:type="paragraph" w:styleId="41">
    <w:name w:val="No Spacing"/>
    <w:basedOn w:val="1"/>
    <w:link w:val="40"/>
    <w:qFormat/>
    <w:uiPriority w:val="0"/>
    <w:rPr>
      <w:rFonts w:ascii="宋体" w:hAnsi="宋体" w:eastAsiaTheme="minorEastAsia" w:cstheme="minorBidi"/>
      <w14:ligatures w14:val="standardContextual"/>
    </w:rPr>
  </w:style>
  <w:style w:type="paragraph" w:customStyle="1" w:styleId="42">
    <w:name w:val="样式 正文缩进 + 首行缩进:  2 字符"/>
    <w:basedOn w:val="11"/>
    <w:qFormat/>
    <w:uiPriority w:val="99"/>
    <w:pPr>
      <w:spacing w:after="80" w:line="360" w:lineRule="auto"/>
      <w:ind w:firstLine="480" w:firstLineChars="0"/>
    </w:pPr>
    <w:rPr>
      <w:kern w:val="0"/>
      <w:szCs w:val="20"/>
    </w:rPr>
  </w:style>
  <w:style w:type="character" w:customStyle="1" w:styleId="43">
    <w:name w:val="正文文本 字符"/>
    <w:basedOn w:val="19"/>
    <w:link w:val="13"/>
    <w:qFormat/>
    <w:uiPriority w:val="0"/>
    <w:rPr>
      <w:rFonts w:ascii="Times New Roman" w:hAnsi="Times New Roman" w:eastAsia="宋体" w:cs="Times New Roman"/>
      <w:sz w:val="21"/>
      <w14:ligatures w14: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18</Pages>
  <Words>2249</Words>
  <Characters>12820</Characters>
  <Lines>106</Lines>
  <Paragraphs>30</Paragraphs>
  <TotalTime>24</TotalTime>
  <ScaleCrop>false</ScaleCrop>
  <LinksUpToDate>false</LinksUpToDate>
  <CharactersWithSpaces>15039</CharactersWithSpaces>
  <Application>WPS Office_11.8.2.10154_F1E327BC-269C-435d-A152-05C5408002CA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2026-03-18T07:27:00Z</dcterms:created>
  <dc:creator>Lemon Tree</dc:creator>
  <cp:lastModifiedBy>睿睿麻麻</cp:lastModifiedBy>
  <dcterms:modified xsi:type="dcterms:W3CDTF">2026-03-31T06:52:41Z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2052-11.8.2.10154</vt:lpwstr>
  </property>
</Properties>
</file>