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32"/>
          <w:szCs w:val="32"/>
        </w:rPr>
      </w:pPr>
      <w:r>
        <w:rPr>
          <w:rFonts w:hint="eastAsia"/>
          <w:b/>
          <w:bCs/>
          <w:sz w:val="32"/>
          <w:szCs w:val="32"/>
        </w:rPr>
        <w:t>安全服务、设备维保、舆情监测服务项目采购需求</w:t>
      </w:r>
    </w:p>
    <w:p>
      <w:pPr>
        <w:pStyle w:val="2"/>
        <w:spacing w:line="360" w:lineRule="auto"/>
        <w:rPr>
          <w:sz w:val="32"/>
          <w:szCs w:val="32"/>
        </w:rPr>
      </w:pPr>
    </w:p>
    <w:p>
      <w:pPr>
        <w:pStyle w:val="2"/>
        <w:numPr>
          <w:ilvl w:val="0"/>
          <w:numId w:val="1"/>
        </w:numPr>
        <w:spacing w:line="360" w:lineRule="auto"/>
        <w:rPr>
          <w:sz w:val="32"/>
          <w:szCs w:val="32"/>
        </w:rPr>
      </w:pPr>
      <w:r>
        <w:rPr>
          <w:rFonts w:hint="eastAsia"/>
          <w:sz w:val="32"/>
          <w:szCs w:val="32"/>
        </w:rPr>
        <w:t>采购清单</w:t>
      </w:r>
    </w:p>
    <w:p>
      <w:pPr>
        <w:pStyle w:val="3"/>
        <w:spacing w:after="156" w:afterLines="50" w:line="36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2.1采购清单</w:t>
      </w:r>
    </w:p>
    <w:tbl>
      <w:tblPr>
        <w:tblStyle w:val="9"/>
        <w:tblW w:w="85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9"/>
        <w:gridCol w:w="3401"/>
        <w:gridCol w:w="2043"/>
        <w:gridCol w:w="1133"/>
        <w:gridCol w:w="1006"/>
      </w:tblGrid>
      <w:tr>
        <w:trPr>
          <w:trHeight w:val="504" w:hRule="atLeast"/>
          <w:jc w:val="center"/>
        </w:trPr>
        <w:tc>
          <w:tcPr>
            <w:tcW w:w="979" w:type="dxa"/>
            <w:vAlign w:val="center"/>
          </w:tcPr>
          <w:p>
            <w:pPr>
              <w:spacing w:line="360" w:lineRule="auto"/>
              <w:jc w:val="center"/>
              <w:rPr>
                <w:rFonts w:hint="eastAsia" w:ascii="仿宋" w:hAnsi="仿宋" w:eastAsia="仿宋" w:cs="仿宋"/>
                <w:sz w:val="22"/>
                <w:szCs w:val="22"/>
              </w:rPr>
            </w:pPr>
            <w:r>
              <w:rPr>
                <w:rFonts w:hint="eastAsia" w:ascii="仿宋" w:hAnsi="仿宋" w:eastAsia="仿宋" w:cs="仿宋"/>
                <w:sz w:val="22"/>
                <w:szCs w:val="22"/>
              </w:rPr>
              <w:t>序号</w:t>
            </w:r>
          </w:p>
        </w:tc>
        <w:tc>
          <w:tcPr>
            <w:tcW w:w="3401" w:type="dxa"/>
            <w:vAlign w:val="center"/>
          </w:tcPr>
          <w:p>
            <w:pPr>
              <w:spacing w:line="360" w:lineRule="auto"/>
              <w:jc w:val="center"/>
              <w:rPr>
                <w:rFonts w:hint="eastAsia" w:ascii="仿宋" w:hAnsi="仿宋" w:eastAsia="仿宋" w:cs="仿宋"/>
                <w:sz w:val="22"/>
                <w:szCs w:val="22"/>
              </w:rPr>
            </w:pPr>
            <w:r>
              <w:rPr>
                <w:rFonts w:hint="eastAsia" w:ascii="仿宋" w:hAnsi="仿宋" w:eastAsia="仿宋" w:cs="仿宋"/>
                <w:sz w:val="22"/>
                <w:szCs w:val="22"/>
              </w:rPr>
              <w:t>名称</w:t>
            </w:r>
          </w:p>
        </w:tc>
        <w:tc>
          <w:tcPr>
            <w:tcW w:w="2043" w:type="dxa"/>
            <w:vAlign w:val="center"/>
          </w:tcPr>
          <w:p>
            <w:pPr>
              <w:spacing w:line="360" w:lineRule="auto"/>
              <w:jc w:val="center"/>
              <w:rPr>
                <w:rFonts w:hint="eastAsia" w:ascii="仿宋" w:hAnsi="仿宋" w:eastAsia="仿宋" w:cs="仿宋"/>
                <w:sz w:val="22"/>
                <w:szCs w:val="22"/>
              </w:rPr>
            </w:pPr>
            <w:r>
              <w:rPr>
                <w:rFonts w:hint="eastAsia" w:ascii="仿宋" w:hAnsi="仿宋" w:eastAsia="仿宋" w:cs="仿宋"/>
                <w:sz w:val="22"/>
                <w:szCs w:val="22"/>
              </w:rPr>
              <w:t>服务要求</w:t>
            </w:r>
          </w:p>
        </w:tc>
        <w:tc>
          <w:tcPr>
            <w:tcW w:w="1133" w:type="dxa"/>
            <w:vAlign w:val="center"/>
          </w:tcPr>
          <w:p>
            <w:pPr>
              <w:spacing w:line="360" w:lineRule="auto"/>
              <w:jc w:val="center"/>
              <w:rPr>
                <w:rFonts w:hint="eastAsia" w:ascii="仿宋" w:hAnsi="仿宋" w:eastAsia="仿宋" w:cs="仿宋"/>
                <w:sz w:val="22"/>
                <w:szCs w:val="22"/>
              </w:rPr>
            </w:pPr>
            <w:r>
              <w:rPr>
                <w:rFonts w:hint="eastAsia" w:ascii="仿宋" w:hAnsi="仿宋" w:eastAsia="仿宋" w:cs="仿宋"/>
                <w:sz w:val="22"/>
                <w:szCs w:val="22"/>
              </w:rPr>
              <w:t>单位</w:t>
            </w:r>
          </w:p>
        </w:tc>
        <w:tc>
          <w:tcPr>
            <w:tcW w:w="1006" w:type="dxa"/>
            <w:vAlign w:val="center"/>
          </w:tcPr>
          <w:p>
            <w:pPr>
              <w:spacing w:line="360" w:lineRule="auto"/>
              <w:jc w:val="center"/>
              <w:rPr>
                <w:rFonts w:hint="eastAsia" w:ascii="仿宋" w:hAnsi="仿宋" w:eastAsia="仿宋" w:cs="仿宋"/>
                <w:sz w:val="22"/>
                <w:szCs w:val="22"/>
              </w:rPr>
            </w:pPr>
            <w:r>
              <w:rPr>
                <w:rFonts w:hint="eastAsia" w:ascii="仿宋" w:hAnsi="仿宋" w:eastAsia="仿宋" w:cs="仿宋"/>
                <w:sz w:val="22"/>
                <w:szCs w:val="22"/>
              </w:rPr>
              <w:t>数量</w:t>
            </w:r>
          </w:p>
        </w:tc>
      </w:tr>
      <w:tr>
        <w:trPr>
          <w:trHeight w:val="504" w:hRule="atLeast"/>
          <w:jc w:val="center"/>
        </w:trPr>
        <w:tc>
          <w:tcPr>
            <w:tcW w:w="979" w:type="dxa"/>
            <w:vAlign w:val="center"/>
          </w:tcPr>
          <w:p>
            <w:pPr>
              <w:spacing w:line="360" w:lineRule="auto"/>
              <w:jc w:val="center"/>
              <w:rPr>
                <w:rFonts w:hint="eastAsia" w:ascii="仿宋" w:hAnsi="仿宋" w:eastAsia="仿宋" w:cs="仿宋"/>
                <w:sz w:val="20"/>
                <w:szCs w:val="20"/>
              </w:rPr>
            </w:pPr>
            <w:r>
              <w:rPr>
                <w:rFonts w:hint="eastAsia" w:ascii="仿宋" w:hAnsi="仿宋" w:eastAsia="仿宋" w:cs="仿宋"/>
                <w:sz w:val="20"/>
                <w:szCs w:val="20"/>
              </w:rPr>
              <w:t>1</w:t>
            </w:r>
          </w:p>
        </w:tc>
        <w:tc>
          <w:tcPr>
            <w:tcW w:w="3401" w:type="dxa"/>
            <w:vAlign w:val="center"/>
          </w:tcPr>
          <w:p>
            <w:pPr>
              <w:spacing w:line="360" w:lineRule="auto"/>
              <w:jc w:val="center"/>
              <w:rPr>
                <w:rFonts w:hint="eastAsia" w:ascii="仿宋" w:hAnsi="仿宋" w:eastAsia="仿宋" w:cs="仿宋"/>
                <w:sz w:val="20"/>
                <w:szCs w:val="20"/>
              </w:rPr>
            </w:pPr>
            <w:r>
              <w:rPr>
                <w:rFonts w:hint="eastAsia" w:ascii="仿宋" w:hAnsi="仿宋" w:eastAsia="仿宋" w:cs="仿宋"/>
                <w:sz w:val="20"/>
                <w:szCs w:val="20"/>
              </w:rPr>
              <w:t>信息安全服务</w:t>
            </w:r>
          </w:p>
        </w:tc>
        <w:tc>
          <w:tcPr>
            <w:tcW w:w="2043" w:type="dxa"/>
            <w:vAlign w:val="center"/>
          </w:tcPr>
          <w:p>
            <w:pPr>
              <w:spacing w:line="360" w:lineRule="auto"/>
              <w:jc w:val="center"/>
              <w:rPr>
                <w:rFonts w:hint="eastAsia" w:ascii="仿宋" w:hAnsi="仿宋" w:eastAsia="仿宋" w:cs="仿宋"/>
                <w:sz w:val="20"/>
                <w:szCs w:val="20"/>
              </w:rPr>
            </w:pPr>
            <w:r>
              <w:rPr>
                <w:rFonts w:hint="eastAsia" w:ascii="仿宋" w:hAnsi="仿宋" w:eastAsia="仿宋" w:cs="仿宋"/>
                <w:sz w:val="20"/>
                <w:szCs w:val="20"/>
              </w:rPr>
              <w:t>详见服务参数</w:t>
            </w:r>
          </w:p>
        </w:tc>
        <w:tc>
          <w:tcPr>
            <w:tcW w:w="1133" w:type="dxa"/>
            <w:vAlign w:val="center"/>
          </w:tcPr>
          <w:p>
            <w:pPr>
              <w:spacing w:line="360" w:lineRule="auto"/>
              <w:jc w:val="center"/>
              <w:rPr>
                <w:rFonts w:hint="eastAsia" w:ascii="仿宋" w:hAnsi="仿宋" w:eastAsia="仿宋" w:cs="仿宋"/>
                <w:sz w:val="20"/>
                <w:szCs w:val="20"/>
              </w:rPr>
            </w:pPr>
            <w:r>
              <w:rPr>
                <w:rFonts w:hint="eastAsia" w:ascii="仿宋" w:hAnsi="仿宋" w:eastAsia="仿宋" w:cs="仿宋"/>
                <w:sz w:val="20"/>
                <w:szCs w:val="20"/>
              </w:rPr>
              <w:t>项</w:t>
            </w:r>
          </w:p>
        </w:tc>
        <w:tc>
          <w:tcPr>
            <w:tcW w:w="1006" w:type="dxa"/>
            <w:vAlign w:val="center"/>
          </w:tcPr>
          <w:p>
            <w:pPr>
              <w:spacing w:line="360" w:lineRule="auto"/>
              <w:jc w:val="center"/>
              <w:rPr>
                <w:rFonts w:hint="eastAsia" w:ascii="仿宋" w:hAnsi="仿宋" w:eastAsia="仿宋" w:cs="仿宋"/>
                <w:sz w:val="20"/>
                <w:szCs w:val="20"/>
              </w:rPr>
            </w:pPr>
            <w:r>
              <w:rPr>
                <w:rFonts w:hint="eastAsia" w:ascii="仿宋" w:hAnsi="仿宋" w:eastAsia="仿宋" w:cs="仿宋"/>
                <w:sz w:val="20"/>
                <w:szCs w:val="20"/>
              </w:rPr>
              <w:t>1</w:t>
            </w:r>
          </w:p>
        </w:tc>
      </w:tr>
      <w:tr>
        <w:trPr>
          <w:trHeight w:val="504" w:hRule="atLeast"/>
          <w:jc w:val="center"/>
        </w:trPr>
        <w:tc>
          <w:tcPr>
            <w:tcW w:w="979" w:type="dxa"/>
            <w:vAlign w:val="center"/>
          </w:tcPr>
          <w:p>
            <w:pPr>
              <w:spacing w:line="360" w:lineRule="auto"/>
              <w:jc w:val="center"/>
              <w:rPr>
                <w:rFonts w:hint="eastAsia" w:ascii="仿宋" w:hAnsi="仿宋" w:eastAsia="仿宋" w:cs="仿宋"/>
                <w:sz w:val="20"/>
                <w:szCs w:val="20"/>
              </w:rPr>
            </w:pPr>
            <w:r>
              <w:rPr>
                <w:rFonts w:hint="eastAsia" w:ascii="仿宋" w:hAnsi="仿宋" w:eastAsia="仿宋" w:cs="仿宋"/>
                <w:sz w:val="20"/>
                <w:szCs w:val="20"/>
              </w:rPr>
              <w:t>2</w:t>
            </w:r>
          </w:p>
        </w:tc>
        <w:tc>
          <w:tcPr>
            <w:tcW w:w="3401" w:type="dxa"/>
            <w:vAlign w:val="center"/>
          </w:tcPr>
          <w:p>
            <w:pPr>
              <w:spacing w:line="360" w:lineRule="auto"/>
              <w:jc w:val="center"/>
              <w:rPr>
                <w:rFonts w:hint="eastAsia" w:ascii="仿宋" w:hAnsi="仿宋" w:eastAsia="仿宋" w:cs="仿宋"/>
                <w:sz w:val="20"/>
                <w:szCs w:val="20"/>
              </w:rPr>
            </w:pPr>
            <w:r>
              <w:rPr>
                <w:rFonts w:hint="eastAsia" w:ascii="仿宋" w:hAnsi="仿宋" w:eastAsia="仿宋" w:cs="仿宋"/>
                <w:sz w:val="20"/>
                <w:szCs w:val="20"/>
              </w:rPr>
              <w:t>安全设备维保</w:t>
            </w:r>
          </w:p>
        </w:tc>
        <w:tc>
          <w:tcPr>
            <w:tcW w:w="2043" w:type="dxa"/>
            <w:vAlign w:val="center"/>
          </w:tcPr>
          <w:p>
            <w:pPr>
              <w:spacing w:line="360" w:lineRule="auto"/>
              <w:jc w:val="center"/>
              <w:rPr>
                <w:rFonts w:hint="eastAsia" w:ascii="仿宋" w:hAnsi="仿宋" w:eastAsia="仿宋" w:cs="仿宋"/>
                <w:sz w:val="20"/>
                <w:szCs w:val="20"/>
              </w:rPr>
            </w:pPr>
            <w:r>
              <w:rPr>
                <w:rFonts w:hint="eastAsia" w:ascii="仿宋" w:hAnsi="仿宋" w:eastAsia="仿宋" w:cs="仿宋"/>
                <w:sz w:val="20"/>
                <w:szCs w:val="20"/>
              </w:rPr>
              <w:t>详见服务参数</w:t>
            </w:r>
          </w:p>
        </w:tc>
        <w:tc>
          <w:tcPr>
            <w:tcW w:w="1133" w:type="dxa"/>
            <w:vAlign w:val="center"/>
          </w:tcPr>
          <w:p>
            <w:pPr>
              <w:spacing w:line="360" w:lineRule="auto"/>
              <w:jc w:val="center"/>
              <w:rPr>
                <w:rFonts w:hint="eastAsia" w:ascii="仿宋" w:hAnsi="仿宋" w:eastAsia="仿宋" w:cs="仿宋"/>
                <w:sz w:val="20"/>
                <w:szCs w:val="20"/>
              </w:rPr>
            </w:pPr>
            <w:r>
              <w:rPr>
                <w:rFonts w:hint="eastAsia" w:ascii="仿宋" w:hAnsi="仿宋" w:eastAsia="仿宋" w:cs="仿宋"/>
                <w:sz w:val="20"/>
                <w:szCs w:val="20"/>
              </w:rPr>
              <w:t>项</w:t>
            </w:r>
          </w:p>
        </w:tc>
        <w:tc>
          <w:tcPr>
            <w:tcW w:w="1006" w:type="dxa"/>
            <w:vAlign w:val="center"/>
          </w:tcPr>
          <w:p>
            <w:pPr>
              <w:spacing w:line="360" w:lineRule="auto"/>
              <w:jc w:val="center"/>
              <w:rPr>
                <w:rFonts w:hint="eastAsia" w:ascii="仿宋" w:hAnsi="仿宋" w:eastAsia="仿宋" w:cs="仿宋"/>
                <w:sz w:val="20"/>
                <w:szCs w:val="20"/>
              </w:rPr>
            </w:pPr>
            <w:r>
              <w:rPr>
                <w:rFonts w:hint="eastAsia" w:ascii="仿宋" w:hAnsi="仿宋" w:eastAsia="仿宋" w:cs="仿宋"/>
                <w:sz w:val="20"/>
                <w:szCs w:val="20"/>
              </w:rPr>
              <w:t>1</w:t>
            </w:r>
          </w:p>
        </w:tc>
      </w:tr>
      <w:tr>
        <w:trPr>
          <w:trHeight w:val="504" w:hRule="atLeast"/>
          <w:jc w:val="center"/>
        </w:trPr>
        <w:tc>
          <w:tcPr>
            <w:tcW w:w="979" w:type="dxa"/>
            <w:vAlign w:val="center"/>
          </w:tcPr>
          <w:p>
            <w:pPr>
              <w:spacing w:line="360" w:lineRule="auto"/>
              <w:jc w:val="center"/>
              <w:rPr>
                <w:rFonts w:hint="eastAsia" w:ascii="仿宋" w:hAnsi="仿宋" w:eastAsia="仿宋" w:cs="仿宋"/>
                <w:sz w:val="20"/>
                <w:szCs w:val="20"/>
                <w:lang w:val="en-US" w:eastAsia="zh-CN"/>
              </w:rPr>
            </w:pPr>
            <w:r>
              <w:rPr>
                <w:rFonts w:hint="eastAsia" w:ascii="仿宋" w:hAnsi="仿宋" w:eastAsia="仿宋" w:cs="仿宋"/>
                <w:sz w:val="20"/>
                <w:szCs w:val="20"/>
                <w:lang w:val="en-US" w:eastAsia="zh-CN"/>
              </w:rPr>
              <w:t>3</w:t>
            </w:r>
          </w:p>
        </w:tc>
        <w:tc>
          <w:tcPr>
            <w:tcW w:w="3401" w:type="dxa"/>
            <w:vAlign w:val="center"/>
          </w:tcPr>
          <w:p>
            <w:pPr>
              <w:spacing w:line="360" w:lineRule="auto"/>
              <w:jc w:val="center"/>
              <w:rPr>
                <w:rFonts w:hint="default" w:ascii="仿宋" w:hAnsi="仿宋" w:eastAsia="仿宋" w:cs="仿宋"/>
                <w:sz w:val="20"/>
                <w:szCs w:val="20"/>
                <w:lang w:val="en-US" w:eastAsia="zh-CN"/>
              </w:rPr>
            </w:pPr>
            <w:r>
              <w:rPr>
                <w:rFonts w:hint="eastAsia" w:ascii="仿宋" w:hAnsi="仿宋" w:eastAsia="仿宋" w:cs="仿宋"/>
                <w:sz w:val="20"/>
                <w:szCs w:val="20"/>
                <w:lang w:val="en-US" w:eastAsia="zh-CN"/>
              </w:rPr>
              <w:t>舆情监测服务</w:t>
            </w:r>
          </w:p>
        </w:tc>
        <w:tc>
          <w:tcPr>
            <w:tcW w:w="2043" w:type="dxa"/>
            <w:shd w:val="clear" w:color="auto" w:fill="auto"/>
            <w:vAlign w:val="center"/>
          </w:tcPr>
          <w:p>
            <w:pPr>
              <w:spacing w:line="360" w:lineRule="auto"/>
              <w:jc w:val="center"/>
              <w:rPr>
                <w:rFonts w:hint="eastAsia" w:ascii="仿宋" w:hAnsi="仿宋" w:eastAsia="仿宋" w:cs="仿宋"/>
                <w:kern w:val="2"/>
                <w:sz w:val="20"/>
                <w:szCs w:val="20"/>
                <w:lang w:val="en-US" w:eastAsia="zh-CN" w:bidi="ar-SA"/>
              </w:rPr>
            </w:pPr>
            <w:r>
              <w:rPr>
                <w:rFonts w:hint="eastAsia" w:ascii="仿宋" w:hAnsi="仿宋" w:eastAsia="仿宋" w:cs="仿宋"/>
                <w:sz w:val="20"/>
                <w:szCs w:val="20"/>
              </w:rPr>
              <w:t>详见服务参数</w:t>
            </w:r>
          </w:p>
        </w:tc>
        <w:tc>
          <w:tcPr>
            <w:tcW w:w="1133" w:type="dxa"/>
            <w:shd w:val="clear" w:color="auto" w:fill="auto"/>
            <w:vAlign w:val="center"/>
          </w:tcPr>
          <w:p>
            <w:pPr>
              <w:spacing w:line="360" w:lineRule="auto"/>
              <w:jc w:val="center"/>
              <w:rPr>
                <w:rFonts w:hint="eastAsia" w:ascii="仿宋" w:hAnsi="仿宋" w:eastAsia="仿宋" w:cs="仿宋"/>
                <w:kern w:val="2"/>
                <w:sz w:val="20"/>
                <w:szCs w:val="20"/>
                <w:lang w:val="en-US" w:eastAsia="zh-CN" w:bidi="ar-SA"/>
              </w:rPr>
            </w:pPr>
            <w:r>
              <w:rPr>
                <w:rFonts w:hint="eastAsia" w:ascii="仿宋" w:hAnsi="仿宋" w:eastAsia="仿宋" w:cs="仿宋"/>
                <w:sz w:val="20"/>
                <w:szCs w:val="20"/>
              </w:rPr>
              <w:t>项</w:t>
            </w:r>
          </w:p>
        </w:tc>
        <w:tc>
          <w:tcPr>
            <w:tcW w:w="1006" w:type="dxa"/>
            <w:shd w:val="clear" w:color="auto" w:fill="auto"/>
            <w:vAlign w:val="center"/>
          </w:tcPr>
          <w:p>
            <w:pPr>
              <w:spacing w:line="360" w:lineRule="auto"/>
              <w:jc w:val="center"/>
              <w:rPr>
                <w:rFonts w:hint="eastAsia" w:ascii="仿宋" w:hAnsi="仿宋" w:eastAsia="仿宋" w:cs="仿宋"/>
                <w:kern w:val="2"/>
                <w:sz w:val="20"/>
                <w:szCs w:val="20"/>
                <w:lang w:val="en-US" w:eastAsia="zh-CN" w:bidi="ar-SA"/>
              </w:rPr>
            </w:pPr>
            <w:r>
              <w:rPr>
                <w:rFonts w:hint="eastAsia" w:ascii="仿宋" w:hAnsi="仿宋" w:eastAsia="仿宋" w:cs="仿宋"/>
                <w:sz w:val="20"/>
                <w:szCs w:val="20"/>
              </w:rPr>
              <w:t>1</w:t>
            </w:r>
          </w:p>
        </w:tc>
      </w:tr>
    </w:tbl>
    <w:p/>
    <w:p>
      <w:pPr>
        <w:widowControl/>
        <w:jc w:val="left"/>
      </w:pPr>
      <w:r>
        <w:br w:type="page"/>
      </w:r>
    </w:p>
    <w:p/>
    <w:p>
      <w:pPr>
        <w:pStyle w:val="3"/>
        <w:spacing w:after="156" w:afterLines="50" w:line="360" w:lineRule="auto"/>
        <w:rPr>
          <w:rFonts w:hint="eastAsia" w:asciiTheme="minorEastAsia" w:hAnsiTheme="minorEastAsia" w:eastAsiaTheme="minorEastAsia" w:cstheme="minorEastAsia"/>
        </w:rPr>
      </w:pPr>
      <w:r>
        <w:rPr>
          <w:rFonts w:hint="eastAsia" w:asciiTheme="minorEastAsia" w:hAnsiTheme="minorEastAsia" w:eastAsiaTheme="minorEastAsia" w:cstheme="minorEastAsia"/>
        </w:rPr>
        <w:t>2.1 技术参数</w:t>
      </w:r>
    </w:p>
    <w:p>
      <w:pPr>
        <w:pStyle w:val="4"/>
        <w:rPr>
          <w:sz w:val="28"/>
          <w:szCs w:val="28"/>
        </w:rPr>
      </w:pPr>
      <w:r>
        <w:rPr>
          <w:rFonts w:hint="eastAsia"/>
          <w:sz w:val="28"/>
          <w:szCs w:val="28"/>
        </w:rPr>
        <w:t>2.1.1 信息安全服务</w:t>
      </w:r>
    </w:p>
    <w:tbl>
      <w:tblPr>
        <w:tblStyle w:val="9"/>
        <w:tblW w:w="83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1"/>
        <w:gridCol w:w="1306"/>
        <w:gridCol w:w="1093"/>
        <w:gridCol w:w="4057"/>
        <w:gridCol w:w="1289"/>
      </w:tblGrid>
      <w:tr>
        <w:trPr>
          <w:trHeight w:val="429" w:hRule="atLeast"/>
        </w:trPr>
        <w:tc>
          <w:tcPr>
            <w:tcW w:w="601" w:type="dxa"/>
            <w:shd w:val="clear" w:color="auto" w:fill="D8D8D8" w:themeFill="background1" w:themeFillShade="D9"/>
            <w:vAlign w:val="center"/>
          </w:tcPr>
          <w:p>
            <w:pPr>
              <w:jc w:val="center"/>
              <w:rPr>
                <w:b/>
                <w:bCs/>
                <w:sz w:val="18"/>
                <w:szCs w:val="21"/>
              </w:rPr>
            </w:pPr>
            <w:r>
              <w:rPr>
                <w:rFonts w:hint="eastAsia"/>
                <w:b/>
                <w:bCs/>
                <w:sz w:val="18"/>
                <w:szCs w:val="21"/>
              </w:rPr>
              <w:t>序号</w:t>
            </w:r>
          </w:p>
        </w:tc>
        <w:tc>
          <w:tcPr>
            <w:tcW w:w="1306" w:type="dxa"/>
            <w:shd w:val="clear" w:color="auto" w:fill="D8D8D8" w:themeFill="background1" w:themeFillShade="D9"/>
            <w:vAlign w:val="center"/>
          </w:tcPr>
          <w:p>
            <w:pPr>
              <w:jc w:val="center"/>
              <w:rPr>
                <w:b/>
                <w:bCs/>
                <w:sz w:val="18"/>
                <w:szCs w:val="21"/>
              </w:rPr>
            </w:pPr>
            <w:r>
              <w:rPr>
                <w:rFonts w:hint="eastAsia"/>
                <w:b/>
                <w:bCs/>
                <w:sz w:val="18"/>
                <w:szCs w:val="21"/>
              </w:rPr>
              <w:t>工作阶段</w:t>
            </w:r>
          </w:p>
        </w:tc>
        <w:tc>
          <w:tcPr>
            <w:tcW w:w="1093" w:type="dxa"/>
            <w:shd w:val="clear" w:color="auto" w:fill="D8D8D8" w:themeFill="background1" w:themeFillShade="D9"/>
            <w:vAlign w:val="center"/>
          </w:tcPr>
          <w:p>
            <w:pPr>
              <w:jc w:val="center"/>
              <w:rPr>
                <w:b/>
                <w:bCs/>
                <w:sz w:val="18"/>
                <w:szCs w:val="21"/>
              </w:rPr>
            </w:pPr>
            <w:r>
              <w:rPr>
                <w:rFonts w:hint="eastAsia"/>
                <w:b/>
                <w:bCs/>
                <w:sz w:val="18"/>
                <w:szCs w:val="21"/>
              </w:rPr>
              <w:t>服务名称</w:t>
            </w:r>
          </w:p>
        </w:tc>
        <w:tc>
          <w:tcPr>
            <w:tcW w:w="4057" w:type="dxa"/>
            <w:shd w:val="clear" w:color="auto" w:fill="D8D8D8" w:themeFill="background1" w:themeFillShade="D9"/>
            <w:vAlign w:val="center"/>
          </w:tcPr>
          <w:p>
            <w:pPr>
              <w:jc w:val="center"/>
              <w:rPr>
                <w:b/>
                <w:bCs/>
                <w:sz w:val="18"/>
                <w:szCs w:val="21"/>
              </w:rPr>
            </w:pPr>
            <w:r>
              <w:rPr>
                <w:rFonts w:hint="eastAsia"/>
                <w:b/>
                <w:bCs/>
                <w:sz w:val="18"/>
                <w:szCs w:val="21"/>
              </w:rPr>
              <w:t>服务描述</w:t>
            </w:r>
          </w:p>
        </w:tc>
        <w:tc>
          <w:tcPr>
            <w:tcW w:w="1289" w:type="dxa"/>
            <w:shd w:val="clear" w:color="auto" w:fill="D8D8D8" w:themeFill="background1" w:themeFillShade="D9"/>
            <w:vAlign w:val="center"/>
          </w:tcPr>
          <w:p>
            <w:pPr>
              <w:jc w:val="center"/>
              <w:rPr>
                <w:b/>
                <w:bCs/>
                <w:sz w:val="18"/>
                <w:szCs w:val="21"/>
              </w:rPr>
            </w:pPr>
            <w:r>
              <w:rPr>
                <w:rFonts w:hint="eastAsia"/>
                <w:b/>
                <w:bCs/>
                <w:sz w:val="18"/>
                <w:szCs w:val="21"/>
              </w:rPr>
              <w:t>数量/单位</w:t>
            </w:r>
          </w:p>
        </w:tc>
      </w:tr>
      <w:tr>
        <w:trPr>
          <w:trHeight w:val="2603" w:hRule="atLeast"/>
        </w:trPr>
        <w:tc>
          <w:tcPr>
            <w:tcW w:w="601" w:type="dxa"/>
            <w:vAlign w:val="center"/>
          </w:tcPr>
          <w:p>
            <w:pPr>
              <w:jc w:val="center"/>
              <w:rPr>
                <w:sz w:val="18"/>
                <w:szCs w:val="21"/>
              </w:rPr>
            </w:pPr>
            <w:r>
              <w:rPr>
                <w:rFonts w:hint="eastAsia"/>
                <w:sz w:val="18"/>
                <w:szCs w:val="21"/>
              </w:rPr>
              <w:t>1</w:t>
            </w:r>
          </w:p>
        </w:tc>
        <w:tc>
          <w:tcPr>
            <w:tcW w:w="1306" w:type="dxa"/>
            <w:vMerge w:val="restart"/>
            <w:vAlign w:val="center"/>
          </w:tcPr>
          <w:p>
            <w:pPr>
              <w:jc w:val="center"/>
              <w:rPr>
                <w:b/>
                <w:bCs/>
                <w:color w:val="FF0000"/>
                <w:sz w:val="18"/>
                <w:szCs w:val="21"/>
              </w:rPr>
            </w:pPr>
            <w:r>
              <w:rPr>
                <w:rFonts w:hint="eastAsia"/>
                <w:b/>
                <w:bCs/>
                <w:color w:val="FF0000"/>
                <w:sz w:val="18"/>
                <w:szCs w:val="21"/>
              </w:rPr>
              <w:t>【事前】</w:t>
            </w:r>
          </w:p>
          <w:p>
            <w:pPr>
              <w:jc w:val="center"/>
              <w:rPr>
                <w:sz w:val="18"/>
                <w:szCs w:val="21"/>
              </w:rPr>
            </w:pPr>
            <w:r>
              <w:rPr>
                <w:rFonts w:hint="eastAsia"/>
                <w:b/>
                <w:bCs/>
                <w:sz w:val="18"/>
                <w:szCs w:val="21"/>
              </w:rPr>
              <w:t>风险评估与加固是基础</w:t>
            </w:r>
          </w:p>
        </w:tc>
        <w:tc>
          <w:tcPr>
            <w:tcW w:w="1093" w:type="dxa"/>
            <w:vAlign w:val="center"/>
          </w:tcPr>
          <w:p>
            <w:pPr>
              <w:jc w:val="center"/>
              <w:rPr>
                <w:b/>
                <w:bCs/>
                <w:sz w:val="18"/>
                <w:szCs w:val="21"/>
              </w:rPr>
            </w:pPr>
            <w:r>
              <w:rPr>
                <w:rFonts w:hint="eastAsia"/>
                <w:b/>
                <w:bCs/>
                <w:sz w:val="18"/>
                <w:szCs w:val="21"/>
              </w:rPr>
              <w:t>互联网攻击面梳理服务</w:t>
            </w:r>
          </w:p>
        </w:tc>
        <w:tc>
          <w:tcPr>
            <w:tcW w:w="4057" w:type="dxa"/>
            <w:vAlign w:val="center"/>
          </w:tcPr>
          <w:p>
            <w:pPr>
              <w:rPr>
                <w:sz w:val="18"/>
                <w:szCs w:val="21"/>
              </w:rPr>
            </w:pPr>
            <w:r>
              <w:rPr>
                <w:rFonts w:hint="eastAsia"/>
                <w:b/>
                <w:bCs/>
                <w:color w:val="FF0000"/>
                <w:sz w:val="18"/>
                <w:szCs w:val="21"/>
              </w:rPr>
              <w:t>服务描述：</w:t>
            </w:r>
            <w:r>
              <w:rPr>
                <w:rFonts w:hint="eastAsia"/>
                <w:sz w:val="18"/>
                <w:szCs w:val="21"/>
              </w:rPr>
              <w:t>互联网攻击面梳理服务是一种从攻击者视角对企业互联网数字资产进行的一项梳理服务，旨在帮助企业及时发现并有效处置潜在的违规暴露资产，以此减少来自互联网的攻击。</w:t>
            </w:r>
          </w:p>
          <w:p>
            <w:pPr>
              <w:rPr>
                <w:sz w:val="18"/>
                <w:szCs w:val="21"/>
              </w:rPr>
            </w:pPr>
            <w:r>
              <w:rPr>
                <w:rFonts w:hint="eastAsia"/>
                <w:b/>
                <w:bCs/>
                <w:color w:val="FF0000"/>
                <w:sz w:val="18"/>
                <w:szCs w:val="21"/>
              </w:rPr>
              <w:t>管理范围：</w:t>
            </w:r>
            <w:r>
              <w:rPr>
                <w:rFonts w:hint="eastAsia"/>
                <w:sz w:val="18"/>
                <w:szCs w:val="21"/>
              </w:rPr>
              <w:t>互联网开放资产（通过多种关联线索方式，对企业及其分子公司的IP、域名、端口、服务、移动应用、公众号、小程序等多个维度的互联网资产进行梳理）</w:t>
            </w:r>
          </w:p>
          <w:p>
            <w:pPr>
              <w:rPr>
                <w:sz w:val="18"/>
                <w:szCs w:val="21"/>
              </w:rPr>
            </w:pPr>
            <w:r>
              <w:rPr>
                <w:rFonts w:hint="eastAsia"/>
                <w:b/>
                <w:bCs/>
                <w:color w:val="FF0000"/>
                <w:sz w:val="18"/>
                <w:szCs w:val="21"/>
              </w:rPr>
              <w:t>成果输出：</w:t>
            </w:r>
            <w:r>
              <w:rPr>
                <w:rFonts w:hint="eastAsia"/>
                <w:sz w:val="18"/>
                <w:szCs w:val="21"/>
              </w:rPr>
              <w:t>《互联网攻击面梳理表》</w:t>
            </w:r>
          </w:p>
        </w:tc>
        <w:tc>
          <w:tcPr>
            <w:tcW w:w="1289" w:type="dxa"/>
            <w:vAlign w:val="center"/>
          </w:tcPr>
          <w:p>
            <w:pPr>
              <w:jc w:val="center"/>
              <w:rPr>
                <w:sz w:val="18"/>
                <w:szCs w:val="21"/>
              </w:rPr>
            </w:pPr>
            <w:r>
              <w:rPr>
                <w:rFonts w:hint="eastAsia"/>
                <w:sz w:val="18"/>
                <w:szCs w:val="21"/>
              </w:rPr>
              <w:t>12次/年</w:t>
            </w:r>
          </w:p>
        </w:tc>
      </w:tr>
      <w:tr>
        <w:trPr>
          <w:trHeight w:val="2245" w:hRule="atLeast"/>
        </w:trPr>
        <w:tc>
          <w:tcPr>
            <w:tcW w:w="601" w:type="dxa"/>
            <w:vAlign w:val="center"/>
          </w:tcPr>
          <w:p>
            <w:pPr>
              <w:jc w:val="center"/>
              <w:rPr>
                <w:sz w:val="18"/>
                <w:szCs w:val="21"/>
              </w:rPr>
            </w:pPr>
            <w:r>
              <w:rPr>
                <w:rFonts w:hint="eastAsia"/>
                <w:sz w:val="18"/>
                <w:szCs w:val="21"/>
              </w:rPr>
              <w:t>2</w:t>
            </w:r>
          </w:p>
        </w:tc>
        <w:tc>
          <w:tcPr>
            <w:tcW w:w="1306" w:type="dxa"/>
            <w:vMerge w:val="continue"/>
            <w:vAlign w:val="center"/>
          </w:tcPr>
          <w:p>
            <w:pPr>
              <w:rPr>
                <w:sz w:val="18"/>
                <w:szCs w:val="21"/>
              </w:rPr>
            </w:pPr>
          </w:p>
        </w:tc>
        <w:tc>
          <w:tcPr>
            <w:tcW w:w="1093" w:type="dxa"/>
            <w:vAlign w:val="center"/>
          </w:tcPr>
          <w:p>
            <w:pPr>
              <w:jc w:val="center"/>
              <w:rPr>
                <w:b/>
                <w:bCs/>
                <w:sz w:val="18"/>
                <w:szCs w:val="21"/>
              </w:rPr>
            </w:pPr>
            <w:r>
              <w:rPr>
                <w:rFonts w:hint="eastAsia"/>
                <w:b/>
                <w:bCs/>
                <w:sz w:val="18"/>
                <w:szCs w:val="21"/>
              </w:rPr>
              <w:t>互联网资产漏洞&amp;弱口令扫描服务</w:t>
            </w:r>
          </w:p>
        </w:tc>
        <w:tc>
          <w:tcPr>
            <w:tcW w:w="4057" w:type="dxa"/>
            <w:vAlign w:val="center"/>
          </w:tcPr>
          <w:p>
            <w:pPr>
              <w:rPr>
                <w:sz w:val="18"/>
                <w:szCs w:val="21"/>
              </w:rPr>
            </w:pPr>
            <w:r>
              <w:rPr>
                <w:rFonts w:hint="eastAsia"/>
                <w:b/>
                <w:bCs/>
                <w:color w:val="FF0000"/>
                <w:sz w:val="18"/>
                <w:szCs w:val="21"/>
              </w:rPr>
              <w:t>服务描述：</w:t>
            </w:r>
            <w:r>
              <w:rPr>
                <w:rFonts w:hint="eastAsia"/>
                <w:sz w:val="18"/>
                <w:szCs w:val="21"/>
              </w:rPr>
              <w:t>利用先进的漏洞扫描工具，发现组织内网中的各类IT资产（如服务器、工作站、数据库、网络设备等）所存在的安全漏洞，这些漏洞可能是由于错误配置、软件缺陷或其他安全隐患导致的，例如操作系统的安全补丁未及时更新等。</w:t>
            </w:r>
          </w:p>
          <w:p>
            <w:pPr>
              <w:rPr>
                <w:sz w:val="18"/>
                <w:szCs w:val="21"/>
              </w:rPr>
            </w:pPr>
            <w:r>
              <w:rPr>
                <w:rFonts w:hint="eastAsia"/>
                <w:b/>
                <w:bCs/>
                <w:color w:val="FF0000"/>
                <w:sz w:val="18"/>
                <w:szCs w:val="21"/>
              </w:rPr>
              <w:t>扫描范围：</w:t>
            </w:r>
            <w:r>
              <w:rPr>
                <w:rFonts w:hint="eastAsia"/>
                <w:sz w:val="18"/>
                <w:szCs w:val="21"/>
              </w:rPr>
              <w:t>全量互联网资产。</w:t>
            </w:r>
          </w:p>
          <w:p>
            <w:pPr>
              <w:rPr>
                <w:sz w:val="18"/>
                <w:szCs w:val="21"/>
              </w:rPr>
            </w:pPr>
            <w:r>
              <w:rPr>
                <w:rFonts w:hint="eastAsia"/>
                <w:b/>
                <w:bCs/>
                <w:color w:val="FF0000"/>
                <w:sz w:val="18"/>
                <w:szCs w:val="21"/>
              </w:rPr>
              <w:t>成果输出：</w:t>
            </w:r>
            <w:r>
              <w:rPr>
                <w:rFonts w:hint="eastAsia"/>
                <w:sz w:val="18"/>
                <w:szCs w:val="21"/>
              </w:rPr>
              <w:t>《漏洞扫描报告》</w:t>
            </w:r>
          </w:p>
        </w:tc>
        <w:tc>
          <w:tcPr>
            <w:tcW w:w="1289" w:type="dxa"/>
            <w:vAlign w:val="center"/>
          </w:tcPr>
          <w:p>
            <w:pPr>
              <w:jc w:val="center"/>
              <w:rPr>
                <w:sz w:val="18"/>
                <w:szCs w:val="21"/>
              </w:rPr>
            </w:pPr>
            <w:r>
              <w:rPr>
                <w:rFonts w:hint="eastAsia"/>
                <w:sz w:val="18"/>
                <w:szCs w:val="21"/>
              </w:rPr>
              <w:t>12次/年</w:t>
            </w:r>
          </w:p>
        </w:tc>
      </w:tr>
      <w:tr>
        <w:trPr>
          <w:trHeight w:val="2661" w:hRule="atLeast"/>
        </w:trPr>
        <w:tc>
          <w:tcPr>
            <w:tcW w:w="601" w:type="dxa"/>
            <w:vAlign w:val="center"/>
          </w:tcPr>
          <w:p>
            <w:pPr>
              <w:jc w:val="center"/>
              <w:rPr>
                <w:sz w:val="18"/>
                <w:szCs w:val="21"/>
              </w:rPr>
            </w:pPr>
            <w:r>
              <w:rPr>
                <w:rFonts w:hint="eastAsia"/>
                <w:sz w:val="18"/>
                <w:szCs w:val="21"/>
              </w:rPr>
              <w:t>3</w:t>
            </w:r>
          </w:p>
        </w:tc>
        <w:tc>
          <w:tcPr>
            <w:tcW w:w="1306" w:type="dxa"/>
            <w:vMerge w:val="continue"/>
            <w:vAlign w:val="center"/>
          </w:tcPr>
          <w:p>
            <w:pPr>
              <w:rPr>
                <w:sz w:val="18"/>
                <w:szCs w:val="21"/>
              </w:rPr>
            </w:pPr>
          </w:p>
        </w:tc>
        <w:tc>
          <w:tcPr>
            <w:tcW w:w="1093" w:type="dxa"/>
            <w:vAlign w:val="center"/>
          </w:tcPr>
          <w:p>
            <w:pPr>
              <w:jc w:val="center"/>
              <w:rPr>
                <w:b/>
                <w:bCs/>
                <w:sz w:val="18"/>
                <w:szCs w:val="21"/>
              </w:rPr>
            </w:pPr>
            <w:r>
              <w:rPr>
                <w:rFonts w:hint="eastAsia"/>
                <w:b/>
                <w:bCs/>
                <w:sz w:val="18"/>
                <w:szCs w:val="21"/>
              </w:rPr>
              <w:t>互联网资产众测服务</w:t>
            </w:r>
          </w:p>
        </w:tc>
        <w:tc>
          <w:tcPr>
            <w:tcW w:w="4057" w:type="dxa"/>
            <w:vAlign w:val="center"/>
          </w:tcPr>
          <w:p>
            <w:pPr>
              <w:rPr>
                <w:b/>
                <w:bCs/>
                <w:sz w:val="18"/>
                <w:szCs w:val="21"/>
              </w:rPr>
            </w:pPr>
            <w:r>
              <w:rPr>
                <w:rFonts w:hint="eastAsia"/>
                <w:b/>
                <w:bCs/>
                <w:color w:val="FF0000"/>
                <w:sz w:val="18"/>
                <w:szCs w:val="21"/>
              </w:rPr>
              <w:t>服务描述：</w:t>
            </w:r>
            <w:r>
              <w:rPr>
                <w:rFonts w:hint="eastAsia"/>
                <w:sz w:val="18"/>
                <w:szCs w:val="21"/>
              </w:rPr>
              <w:t>传统的渗透测试往往存在局限性，难以全面模拟复杂多变的真实攻击场景。红队评估服务（众测服务）应运而生，它借助众测的模式，汇聚众多具有不同技能和经验的安全专家、黑客爱好者等组成“红队”，从攻击者的视角对目标系统进行深入的渗透测试和评估，发现潜在的安全漏洞和薄弱环节。</w:t>
            </w:r>
          </w:p>
          <w:p>
            <w:pPr>
              <w:rPr>
                <w:sz w:val="18"/>
                <w:szCs w:val="21"/>
              </w:rPr>
            </w:pPr>
            <w:r>
              <w:rPr>
                <w:rFonts w:hint="eastAsia"/>
                <w:b/>
                <w:bCs/>
                <w:color w:val="FF0000"/>
                <w:sz w:val="18"/>
                <w:szCs w:val="21"/>
              </w:rPr>
              <w:t>评估范围：</w:t>
            </w:r>
            <w:r>
              <w:rPr>
                <w:rFonts w:hint="eastAsia"/>
                <w:sz w:val="18"/>
                <w:szCs w:val="21"/>
              </w:rPr>
              <w:t>互联网开放资产。</w:t>
            </w:r>
          </w:p>
          <w:p>
            <w:pPr>
              <w:rPr>
                <w:sz w:val="18"/>
                <w:szCs w:val="21"/>
              </w:rPr>
            </w:pPr>
            <w:r>
              <w:rPr>
                <w:rFonts w:hint="eastAsia"/>
                <w:b/>
                <w:bCs/>
                <w:color w:val="FF0000"/>
                <w:sz w:val="18"/>
                <w:szCs w:val="21"/>
              </w:rPr>
              <w:t>成果输出：</w:t>
            </w:r>
            <w:r>
              <w:rPr>
                <w:rFonts w:hint="eastAsia"/>
                <w:sz w:val="18"/>
                <w:szCs w:val="21"/>
              </w:rPr>
              <w:t>《互联网众测服务报告》</w:t>
            </w:r>
          </w:p>
        </w:tc>
        <w:tc>
          <w:tcPr>
            <w:tcW w:w="1289" w:type="dxa"/>
            <w:vAlign w:val="center"/>
          </w:tcPr>
          <w:p>
            <w:pPr>
              <w:jc w:val="center"/>
              <w:rPr>
                <w:sz w:val="18"/>
                <w:szCs w:val="21"/>
              </w:rPr>
            </w:pPr>
            <w:r>
              <w:rPr>
                <w:rFonts w:hint="eastAsia"/>
                <w:sz w:val="18"/>
                <w:szCs w:val="21"/>
              </w:rPr>
              <w:t>4次/年</w:t>
            </w:r>
          </w:p>
        </w:tc>
      </w:tr>
      <w:tr>
        <w:trPr>
          <w:trHeight w:val="1707" w:hRule="atLeast"/>
        </w:trPr>
        <w:tc>
          <w:tcPr>
            <w:tcW w:w="601" w:type="dxa"/>
            <w:vAlign w:val="center"/>
          </w:tcPr>
          <w:p>
            <w:pPr>
              <w:jc w:val="center"/>
              <w:rPr>
                <w:sz w:val="18"/>
                <w:szCs w:val="21"/>
              </w:rPr>
            </w:pPr>
            <w:r>
              <w:rPr>
                <w:rFonts w:hint="eastAsia"/>
                <w:sz w:val="18"/>
                <w:szCs w:val="21"/>
              </w:rPr>
              <w:t>4</w:t>
            </w:r>
          </w:p>
        </w:tc>
        <w:tc>
          <w:tcPr>
            <w:tcW w:w="1306" w:type="dxa"/>
            <w:vMerge w:val="continue"/>
            <w:vAlign w:val="center"/>
          </w:tcPr>
          <w:p>
            <w:pPr>
              <w:rPr>
                <w:sz w:val="18"/>
                <w:szCs w:val="21"/>
              </w:rPr>
            </w:pPr>
          </w:p>
        </w:tc>
        <w:tc>
          <w:tcPr>
            <w:tcW w:w="1093" w:type="dxa"/>
            <w:vAlign w:val="center"/>
          </w:tcPr>
          <w:p>
            <w:pPr>
              <w:jc w:val="center"/>
              <w:rPr>
                <w:b/>
                <w:bCs/>
                <w:sz w:val="18"/>
                <w:szCs w:val="21"/>
              </w:rPr>
            </w:pPr>
            <w:r>
              <w:rPr>
                <w:rFonts w:hint="eastAsia"/>
                <w:b/>
                <w:bCs/>
                <w:sz w:val="18"/>
                <w:szCs w:val="21"/>
              </w:rPr>
              <w:t>网络安全意识培训服务</w:t>
            </w:r>
          </w:p>
        </w:tc>
        <w:tc>
          <w:tcPr>
            <w:tcW w:w="4057" w:type="dxa"/>
            <w:vAlign w:val="center"/>
          </w:tcPr>
          <w:p>
            <w:pPr>
              <w:rPr>
                <w:sz w:val="18"/>
                <w:szCs w:val="21"/>
              </w:rPr>
            </w:pPr>
            <w:r>
              <w:rPr>
                <w:rFonts w:hint="eastAsia"/>
                <w:b/>
                <w:bCs/>
                <w:color w:val="FF0000"/>
                <w:sz w:val="18"/>
                <w:szCs w:val="21"/>
              </w:rPr>
              <w:t>服务描述：</w:t>
            </w:r>
            <w:r>
              <w:rPr>
                <w:rFonts w:hint="eastAsia"/>
                <w:sz w:val="18"/>
                <w:szCs w:val="21"/>
              </w:rPr>
              <w:t>通过人工现场核查的方式对全网重要网络安全产品的运行状态、安全策略以及日志等风险进行识别和分析，定位风险或缺陷，提出可行性修复建议。</w:t>
            </w:r>
          </w:p>
          <w:p>
            <w:pPr>
              <w:rPr>
                <w:sz w:val="18"/>
                <w:szCs w:val="21"/>
              </w:rPr>
            </w:pPr>
            <w:r>
              <w:rPr>
                <w:rFonts w:hint="eastAsia"/>
                <w:b/>
                <w:bCs/>
                <w:color w:val="FF0000"/>
                <w:sz w:val="18"/>
                <w:szCs w:val="21"/>
              </w:rPr>
              <w:t>核查范围：</w:t>
            </w:r>
            <w:r>
              <w:rPr>
                <w:rFonts w:hint="eastAsia"/>
                <w:sz w:val="18"/>
                <w:szCs w:val="21"/>
              </w:rPr>
              <w:t>指定网络安全系统。</w:t>
            </w:r>
          </w:p>
          <w:p>
            <w:pPr>
              <w:rPr>
                <w:b/>
                <w:bCs/>
                <w:sz w:val="18"/>
                <w:szCs w:val="21"/>
              </w:rPr>
            </w:pPr>
            <w:r>
              <w:rPr>
                <w:rFonts w:hint="eastAsia"/>
                <w:b/>
                <w:bCs/>
                <w:color w:val="FF0000"/>
                <w:sz w:val="18"/>
                <w:szCs w:val="21"/>
              </w:rPr>
              <w:t>成果输出：</w:t>
            </w:r>
            <w:r>
              <w:rPr>
                <w:rFonts w:hint="eastAsia"/>
                <w:sz w:val="18"/>
                <w:szCs w:val="21"/>
              </w:rPr>
              <w:t>《安全</w:t>
            </w:r>
            <w:r>
              <w:rPr>
                <w:rFonts w:hint="eastAsia"/>
                <w:sz w:val="18"/>
                <w:szCs w:val="21"/>
                <w:lang w:val="en-US" w:eastAsia="zh-CN"/>
              </w:rPr>
              <w:t>意识培训PPT</w:t>
            </w:r>
            <w:r>
              <w:rPr>
                <w:rFonts w:hint="eastAsia"/>
                <w:sz w:val="18"/>
                <w:szCs w:val="21"/>
              </w:rPr>
              <w:t>》</w:t>
            </w:r>
          </w:p>
        </w:tc>
        <w:tc>
          <w:tcPr>
            <w:tcW w:w="1289" w:type="dxa"/>
            <w:vAlign w:val="center"/>
          </w:tcPr>
          <w:p>
            <w:pPr>
              <w:jc w:val="center"/>
              <w:rPr>
                <w:sz w:val="18"/>
                <w:szCs w:val="21"/>
              </w:rPr>
            </w:pPr>
            <w:r>
              <w:rPr>
                <w:rFonts w:hint="eastAsia"/>
                <w:sz w:val="18"/>
                <w:szCs w:val="21"/>
              </w:rPr>
              <w:t>1次/年</w:t>
            </w:r>
          </w:p>
        </w:tc>
      </w:tr>
      <w:tr>
        <w:trPr>
          <w:trHeight w:val="10763" w:hRule="atLeast"/>
        </w:trPr>
        <w:tc>
          <w:tcPr>
            <w:tcW w:w="601" w:type="dxa"/>
            <w:vAlign w:val="center"/>
          </w:tcPr>
          <w:p>
            <w:pPr>
              <w:jc w:val="center"/>
              <w:rPr>
                <w:sz w:val="18"/>
                <w:szCs w:val="21"/>
              </w:rPr>
            </w:pPr>
            <w:r>
              <w:rPr>
                <w:rFonts w:hint="eastAsia"/>
                <w:sz w:val="18"/>
                <w:szCs w:val="21"/>
              </w:rPr>
              <w:t>5</w:t>
            </w:r>
          </w:p>
        </w:tc>
        <w:tc>
          <w:tcPr>
            <w:tcW w:w="1306" w:type="dxa"/>
            <w:vAlign w:val="center"/>
          </w:tcPr>
          <w:p>
            <w:pPr>
              <w:jc w:val="center"/>
              <w:rPr>
                <w:b/>
                <w:bCs/>
                <w:color w:val="FF0000"/>
                <w:sz w:val="18"/>
                <w:szCs w:val="21"/>
              </w:rPr>
            </w:pPr>
            <w:r>
              <w:rPr>
                <w:rFonts w:hint="eastAsia"/>
                <w:b/>
                <w:bCs/>
                <w:color w:val="FF0000"/>
                <w:sz w:val="18"/>
                <w:szCs w:val="21"/>
              </w:rPr>
              <w:t>【事中】</w:t>
            </w:r>
          </w:p>
          <w:p>
            <w:pPr>
              <w:jc w:val="center"/>
              <w:rPr>
                <w:b/>
                <w:bCs/>
                <w:color w:val="FF0000"/>
                <w:sz w:val="18"/>
                <w:szCs w:val="21"/>
              </w:rPr>
            </w:pPr>
            <w:r>
              <w:rPr>
                <w:rFonts w:hint="eastAsia"/>
                <w:b/>
                <w:bCs/>
                <w:sz w:val="18"/>
                <w:szCs w:val="21"/>
              </w:rPr>
              <w:t>威胁监测与预警是核心</w:t>
            </w:r>
          </w:p>
        </w:tc>
        <w:tc>
          <w:tcPr>
            <w:tcW w:w="1093" w:type="dxa"/>
            <w:vAlign w:val="center"/>
          </w:tcPr>
          <w:p>
            <w:pPr>
              <w:jc w:val="center"/>
              <w:rPr>
                <w:b/>
                <w:bCs/>
                <w:sz w:val="18"/>
                <w:szCs w:val="21"/>
              </w:rPr>
            </w:pPr>
            <w:r>
              <w:rPr>
                <w:rFonts w:hint="eastAsia"/>
                <w:b/>
                <w:bCs/>
                <w:sz w:val="18"/>
                <w:szCs w:val="21"/>
              </w:rPr>
              <w:t>人员驻场服务</w:t>
            </w:r>
          </w:p>
        </w:tc>
        <w:tc>
          <w:tcPr>
            <w:tcW w:w="4057" w:type="dxa"/>
            <w:vAlign w:val="center"/>
          </w:tcPr>
          <w:p>
            <w:pPr>
              <w:rPr>
                <w:b/>
                <w:bCs/>
                <w:color w:val="FF0000"/>
                <w:sz w:val="18"/>
                <w:szCs w:val="21"/>
              </w:rPr>
            </w:pPr>
            <w:r>
              <w:rPr>
                <w:rFonts w:hint="eastAsia"/>
                <w:b/>
                <w:bCs/>
                <w:color w:val="FF0000"/>
                <w:sz w:val="18"/>
                <w:szCs w:val="21"/>
              </w:rPr>
              <w:t>服务描述：</w:t>
            </w:r>
          </w:p>
          <w:p>
            <w:pPr>
              <w:rPr>
                <w:sz w:val="18"/>
                <w:szCs w:val="21"/>
              </w:rPr>
            </w:pPr>
            <w:r>
              <w:rPr>
                <w:rFonts w:hint="eastAsia"/>
                <w:sz w:val="18"/>
                <w:szCs w:val="21"/>
              </w:rPr>
              <w:t>提供专业、全面、高效的网络安全驻场服务，通过专业技术人员常驻现场，对网络系统、安全设备及信息资产进行实时监控、维护、管理和应急处理，确保网络环境的安全性、稳定性和可靠性，有效防范各类网络安全威胁，保障业务的正常运行</w:t>
            </w:r>
            <w:r>
              <w:rPr>
                <w:sz w:val="18"/>
                <w:szCs w:val="21"/>
              </w:rPr>
              <w:t>。</w:t>
            </w:r>
          </w:p>
          <w:p>
            <w:pPr>
              <w:rPr>
                <w:b/>
                <w:bCs/>
                <w:color w:val="FF0000"/>
                <w:sz w:val="18"/>
                <w:szCs w:val="21"/>
              </w:rPr>
            </w:pPr>
            <w:r>
              <w:rPr>
                <w:rFonts w:hint="eastAsia"/>
                <w:b/>
                <w:bCs/>
                <w:color w:val="FF0000"/>
                <w:sz w:val="18"/>
                <w:szCs w:val="21"/>
              </w:rPr>
              <w:t>服务内容：</w:t>
            </w:r>
          </w:p>
          <w:p>
            <w:pPr>
              <w:rPr>
                <w:b/>
                <w:bCs/>
                <w:sz w:val="18"/>
                <w:szCs w:val="21"/>
              </w:rPr>
            </w:pPr>
            <w:r>
              <w:rPr>
                <w:rFonts w:hint="eastAsia"/>
                <w:b/>
                <w:bCs/>
                <w:sz w:val="18"/>
                <w:szCs w:val="21"/>
              </w:rPr>
              <w:t>1、</w:t>
            </w:r>
            <w:r>
              <w:rPr>
                <w:b/>
                <w:bCs/>
                <w:sz w:val="18"/>
                <w:szCs w:val="21"/>
              </w:rPr>
              <w:t>日常运维与监控</w:t>
            </w:r>
          </w:p>
          <w:p>
            <w:pPr>
              <w:rPr>
                <w:sz w:val="18"/>
                <w:szCs w:val="21"/>
              </w:rPr>
            </w:pPr>
            <w:r>
              <w:rPr>
                <w:rFonts w:hint="eastAsia"/>
                <w:b/>
                <w:bCs/>
                <w:sz w:val="18"/>
                <w:szCs w:val="21"/>
              </w:rPr>
              <w:t>1.1 设备日常维护：</w:t>
            </w:r>
            <w:r>
              <w:rPr>
                <w:rFonts w:hint="eastAsia"/>
                <w:sz w:val="18"/>
                <w:szCs w:val="21"/>
              </w:rPr>
              <w:t>负责驻场单位网络设备（如路由器、交换机等）、安全设备（如防火墙、IPS、WAF等）的日常维护及故障处理工作</w:t>
            </w:r>
            <w:r>
              <w:rPr>
                <w:rFonts w:hint="eastAsia"/>
                <w:b/>
                <w:bCs/>
                <w:sz w:val="18"/>
                <w:szCs w:val="21"/>
              </w:rPr>
              <w:t>，定期对设备进行巡检</w:t>
            </w:r>
            <w:r>
              <w:rPr>
                <w:rFonts w:hint="eastAsia"/>
                <w:sz w:val="18"/>
                <w:szCs w:val="21"/>
              </w:rPr>
              <w:t>，确保设备正常运行。</w:t>
            </w:r>
          </w:p>
          <w:p>
            <w:pPr>
              <w:rPr>
                <w:sz w:val="18"/>
                <w:szCs w:val="21"/>
              </w:rPr>
            </w:pPr>
            <w:r>
              <w:rPr>
                <w:rFonts w:hint="eastAsia"/>
                <w:b/>
                <w:bCs/>
                <w:sz w:val="18"/>
                <w:szCs w:val="21"/>
              </w:rPr>
              <w:t>1.2 安全事件监测：</w:t>
            </w:r>
            <w:r>
              <w:rPr>
                <w:rFonts w:hint="eastAsia"/>
                <w:sz w:val="18"/>
                <w:szCs w:val="21"/>
              </w:rPr>
              <w:t>对安全监测平台告警进行分析及闭环处理，监控安全事件，针对信息安全预警、安全防护、系统监控等方面的实施状况进行安全检查。</w:t>
            </w:r>
          </w:p>
          <w:p>
            <w:pPr>
              <w:rPr>
                <w:b/>
                <w:bCs/>
                <w:sz w:val="18"/>
                <w:szCs w:val="21"/>
              </w:rPr>
            </w:pPr>
            <w:r>
              <w:rPr>
                <w:rFonts w:hint="eastAsia"/>
                <w:b/>
                <w:bCs/>
                <w:sz w:val="18"/>
                <w:szCs w:val="21"/>
              </w:rPr>
              <w:t>1.3 漏洞协助加固与核验：</w:t>
            </w:r>
            <w:r>
              <w:rPr>
                <w:sz w:val="18"/>
                <w:szCs w:val="21"/>
              </w:rPr>
              <w:t>在漏洞扫描、渗透测试</w:t>
            </w:r>
            <w:r>
              <w:rPr>
                <w:rFonts w:hint="eastAsia"/>
                <w:sz w:val="18"/>
                <w:szCs w:val="21"/>
              </w:rPr>
              <w:t>等服务中发现的</w:t>
            </w:r>
            <w:r>
              <w:rPr>
                <w:sz w:val="18"/>
                <w:szCs w:val="21"/>
              </w:rPr>
              <w:t>安全漏洞</w:t>
            </w:r>
            <w:r>
              <w:rPr>
                <w:rFonts w:hint="eastAsia"/>
                <w:sz w:val="18"/>
                <w:szCs w:val="21"/>
              </w:rPr>
              <w:t>或</w:t>
            </w:r>
            <w:r>
              <w:rPr>
                <w:sz w:val="18"/>
                <w:szCs w:val="21"/>
              </w:rPr>
              <w:t>配置隐患，</w:t>
            </w:r>
            <w:r>
              <w:rPr>
                <w:rFonts w:hint="eastAsia"/>
                <w:sz w:val="18"/>
                <w:szCs w:val="21"/>
              </w:rPr>
              <w:t>提供协助</w:t>
            </w:r>
            <w:r>
              <w:rPr>
                <w:sz w:val="18"/>
                <w:szCs w:val="21"/>
              </w:rPr>
              <w:t>加固</w:t>
            </w:r>
            <w:r>
              <w:rPr>
                <w:rFonts w:hint="eastAsia"/>
                <w:sz w:val="18"/>
                <w:szCs w:val="21"/>
              </w:rPr>
              <w:t>服务</w:t>
            </w:r>
            <w:r>
              <w:rPr>
                <w:sz w:val="18"/>
                <w:szCs w:val="21"/>
              </w:rPr>
              <w:t>，在加固完成后进行复测，确保</w:t>
            </w:r>
            <w:r>
              <w:rPr>
                <w:rFonts w:hint="eastAsia"/>
                <w:sz w:val="18"/>
                <w:szCs w:val="21"/>
              </w:rPr>
              <w:t>加固完毕</w:t>
            </w:r>
            <w:r>
              <w:rPr>
                <w:sz w:val="18"/>
                <w:szCs w:val="21"/>
              </w:rPr>
              <w:t>。</w:t>
            </w:r>
          </w:p>
          <w:p>
            <w:pPr>
              <w:rPr>
                <w:b/>
                <w:bCs/>
                <w:sz w:val="18"/>
                <w:szCs w:val="21"/>
              </w:rPr>
            </w:pPr>
            <w:r>
              <w:rPr>
                <w:rFonts w:hint="eastAsia"/>
                <w:b/>
                <w:bCs/>
                <w:sz w:val="18"/>
                <w:szCs w:val="21"/>
              </w:rPr>
              <w:t>2、应急响应与处理</w:t>
            </w:r>
          </w:p>
          <w:p>
            <w:pPr>
              <w:rPr>
                <w:sz w:val="18"/>
                <w:szCs w:val="21"/>
              </w:rPr>
            </w:pPr>
            <w:r>
              <w:rPr>
                <w:rFonts w:hint="eastAsia"/>
                <w:b/>
                <w:bCs/>
                <w:sz w:val="18"/>
                <w:szCs w:val="21"/>
              </w:rPr>
              <w:t>2.1 应急事件沟通协调：</w:t>
            </w:r>
            <w:r>
              <w:rPr>
                <w:rFonts w:hint="eastAsia"/>
                <w:sz w:val="18"/>
                <w:szCs w:val="21"/>
              </w:rPr>
              <w:t>协助驻场单位进行应急事件沟通协调工作，在发生网络安全事件时，迅速响应，组织相关人员进行应急处理，减少事件对业务的影响。</w:t>
            </w:r>
          </w:p>
          <w:p>
            <w:pPr>
              <w:rPr>
                <w:sz w:val="18"/>
                <w:szCs w:val="21"/>
              </w:rPr>
            </w:pPr>
            <w:r>
              <w:rPr>
                <w:rFonts w:hint="eastAsia"/>
                <w:b/>
                <w:bCs/>
                <w:sz w:val="18"/>
                <w:szCs w:val="21"/>
              </w:rPr>
              <w:t>2.2 安全事件分析与溯源：</w:t>
            </w:r>
            <w:r>
              <w:rPr>
                <w:rFonts w:hint="eastAsia"/>
                <w:sz w:val="18"/>
                <w:szCs w:val="21"/>
              </w:rPr>
              <w:t>对发生的安全事件进行分析和溯源，确定攻击来源、手段和目的，为后续的防范和处理提供依据。</w:t>
            </w:r>
          </w:p>
          <w:p>
            <w:pPr>
              <w:rPr>
                <w:b/>
                <w:bCs/>
                <w:sz w:val="18"/>
                <w:szCs w:val="21"/>
              </w:rPr>
            </w:pPr>
            <w:r>
              <w:rPr>
                <w:rFonts w:hint="eastAsia"/>
                <w:b/>
                <w:bCs/>
                <w:sz w:val="18"/>
                <w:szCs w:val="21"/>
              </w:rPr>
              <w:t>3、驻场单位的其他事务支持。</w:t>
            </w:r>
          </w:p>
          <w:p>
            <w:pPr>
              <w:rPr>
                <w:b/>
                <w:bCs/>
                <w:color w:val="FF0000"/>
                <w:sz w:val="18"/>
                <w:szCs w:val="21"/>
              </w:rPr>
            </w:pPr>
            <w:r>
              <w:rPr>
                <w:rFonts w:hint="eastAsia"/>
                <w:b/>
                <w:bCs/>
                <w:color w:val="FF0000"/>
                <w:sz w:val="18"/>
                <w:szCs w:val="21"/>
              </w:rPr>
              <w:t>服务要求：</w:t>
            </w:r>
          </w:p>
          <w:p>
            <w:pPr>
              <w:rPr>
                <w:sz w:val="18"/>
                <w:szCs w:val="21"/>
              </w:rPr>
            </w:pPr>
            <w:r>
              <w:rPr>
                <w:sz w:val="18"/>
                <w:szCs w:val="21"/>
              </w:rPr>
              <w:t>依据 5×8 服务等级（SLA），提供 1 人常规驻场服务，保障业务稳定运行。</w:t>
            </w:r>
          </w:p>
          <w:p>
            <w:pPr>
              <w:rPr>
                <w:b/>
                <w:bCs/>
                <w:color w:val="FF0000"/>
                <w:sz w:val="18"/>
                <w:szCs w:val="21"/>
              </w:rPr>
            </w:pPr>
            <w:r>
              <w:rPr>
                <w:rFonts w:hint="eastAsia"/>
                <w:b/>
                <w:bCs/>
                <w:color w:val="FF0000"/>
                <w:sz w:val="18"/>
                <w:szCs w:val="21"/>
              </w:rPr>
              <w:t>交付成果：</w:t>
            </w:r>
          </w:p>
          <w:p>
            <w:pPr>
              <w:rPr>
                <w:sz w:val="18"/>
                <w:szCs w:val="21"/>
              </w:rPr>
            </w:pPr>
            <w:r>
              <w:rPr>
                <w:rFonts w:hint="eastAsia"/>
                <w:sz w:val="18"/>
                <w:szCs w:val="21"/>
              </w:rPr>
              <w:t>1、</w:t>
            </w:r>
            <w:r>
              <w:rPr>
                <w:b/>
                <w:bCs/>
                <w:sz w:val="18"/>
                <w:szCs w:val="21"/>
              </w:rPr>
              <w:t>每月提供</w:t>
            </w:r>
            <w:r>
              <w:rPr>
                <w:rFonts w:hint="eastAsia"/>
                <w:b/>
                <w:bCs/>
                <w:sz w:val="18"/>
                <w:szCs w:val="21"/>
              </w:rPr>
              <w:t>《产品</w:t>
            </w:r>
            <w:r>
              <w:rPr>
                <w:b/>
                <w:bCs/>
                <w:sz w:val="18"/>
                <w:szCs w:val="21"/>
              </w:rPr>
              <w:t>巡检报告</w:t>
            </w:r>
            <w:r>
              <w:rPr>
                <w:rFonts w:hint="eastAsia"/>
                <w:b/>
                <w:bCs/>
                <w:sz w:val="18"/>
                <w:szCs w:val="21"/>
              </w:rPr>
              <w:t>》</w:t>
            </w:r>
            <w:r>
              <w:rPr>
                <w:b/>
                <w:bCs/>
                <w:sz w:val="18"/>
                <w:szCs w:val="21"/>
              </w:rPr>
              <w:t>，内容包括</w:t>
            </w:r>
            <w:r>
              <w:rPr>
                <w:rFonts w:hint="eastAsia"/>
                <w:b/>
                <w:bCs/>
                <w:sz w:val="18"/>
                <w:szCs w:val="21"/>
              </w:rPr>
              <w:t>安全产品运行状态、规则库升级记录、网络拓扑及策略变更记录等</w:t>
            </w:r>
            <w:r>
              <w:rPr>
                <w:b/>
                <w:bCs/>
                <w:sz w:val="18"/>
                <w:szCs w:val="21"/>
              </w:rPr>
              <w:t>。</w:t>
            </w:r>
          </w:p>
          <w:p>
            <w:pPr>
              <w:rPr>
                <w:sz w:val="18"/>
                <w:szCs w:val="21"/>
              </w:rPr>
            </w:pPr>
            <w:r>
              <w:rPr>
                <w:rFonts w:hint="eastAsia"/>
                <w:sz w:val="18"/>
                <w:szCs w:val="21"/>
              </w:rPr>
              <w:t>2、《安全事件登记册》按需</w:t>
            </w:r>
          </w:p>
          <w:p>
            <w:pPr>
              <w:rPr>
                <w:sz w:val="18"/>
                <w:szCs w:val="21"/>
              </w:rPr>
            </w:pPr>
            <w:r>
              <w:rPr>
                <w:rFonts w:hint="eastAsia"/>
                <w:sz w:val="18"/>
                <w:szCs w:val="21"/>
              </w:rPr>
              <w:t>3、《策略变更申请单》按需等</w:t>
            </w:r>
          </w:p>
        </w:tc>
        <w:tc>
          <w:tcPr>
            <w:tcW w:w="1289" w:type="dxa"/>
            <w:vAlign w:val="center"/>
          </w:tcPr>
          <w:p>
            <w:pPr>
              <w:jc w:val="center"/>
              <w:rPr>
                <w:sz w:val="18"/>
                <w:szCs w:val="21"/>
              </w:rPr>
            </w:pPr>
            <w:r>
              <w:rPr>
                <w:rFonts w:hint="eastAsia"/>
                <w:sz w:val="18"/>
                <w:szCs w:val="21"/>
              </w:rPr>
              <w:t>1年</w:t>
            </w:r>
          </w:p>
        </w:tc>
      </w:tr>
      <w:tr>
        <w:trPr>
          <w:trHeight w:val="4810" w:hRule="atLeast"/>
        </w:trPr>
        <w:tc>
          <w:tcPr>
            <w:tcW w:w="601" w:type="dxa"/>
            <w:vAlign w:val="center"/>
          </w:tcPr>
          <w:p>
            <w:pPr>
              <w:jc w:val="center"/>
              <w:rPr>
                <w:sz w:val="18"/>
                <w:szCs w:val="21"/>
              </w:rPr>
            </w:pPr>
            <w:r>
              <w:rPr>
                <w:rFonts w:hint="eastAsia"/>
                <w:sz w:val="18"/>
                <w:szCs w:val="21"/>
              </w:rPr>
              <w:t>6</w:t>
            </w:r>
          </w:p>
        </w:tc>
        <w:tc>
          <w:tcPr>
            <w:tcW w:w="1306" w:type="dxa"/>
            <w:vAlign w:val="center"/>
          </w:tcPr>
          <w:p>
            <w:pPr>
              <w:jc w:val="center"/>
              <w:rPr>
                <w:b/>
                <w:bCs/>
                <w:color w:val="FF0000"/>
                <w:sz w:val="18"/>
                <w:szCs w:val="21"/>
              </w:rPr>
            </w:pPr>
          </w:p>
        </w:tc>
        <w:tc>
          <w:tcPr>
            <w:tcW w:w="1093" w:type="dxa"/>
            <w:vAlign w:val="center"/>
          </w:tcPr>
          <w:p>
            <w:pPr>
              <w:jc w:val="center"/>
              <w:rPr>
                <w:b/>
                <w:bCs/>
                <w:sz w:val="18"/>
                <w:szCs w:val="21"/>
              </w:rPr>
            </w:pPr>
            <w:r>
              <w:rPr>
                <w:rFonts w:hint="eastAsia"/>
                <w:b/>
                <w:bCs/>
                <w:sz w:val="18"/>
                <w:szCs w:val="21"/>
              </w:rPr>
              <w:t>重要时期安全保障服务</w:t>
            </w:r>
          </w:p>
        </w:tc>
        <w:tc>
          <w:tcPr>
            <w:tcW w:w="4057" w:type="dxa"/>
            <w:vAlign w:val="center"/>
          </w:tcPr>
          <w:p>
            <w:pPr>
              <w:rPr>
                <w:b/>
                <w:bCs/>
                <w:color w:val="FF0000"/>
                <w:sz w:val="18"/>
                <w:szCs w:val="21"/>
              </w:rPr>
            </w:pPr>
            <w:r>
              <w:rPr>
                <w:rFonts w:hint="eastAsia"/>
                <w:b/>
                <w:bCs/>
                <w:color w:val="FF0000"/>
                <w:sz w:val="18"/>
                <w:szCs w:val="21"/>
              </w:rPr>
              <w:t>服务描述：</w:t>
            </w:r>
          </w:p>
          <w:p>
            <w:pPr>
              <w:rPr>
                <w:sz w:val="18"/>
                <w:szCs w:val="21"/>
              </w:rPr>
            </w:pPr>
            <w:r>
              <w:rPr>
                <w:rFonts w:hint="eastAsia"/>
                <w:sz w:val="18"/>
                <w:szCs w:val="21"/>
              </w:rPr>
              <w:t>重要时期安全保障服务是在国家重要活动、会议时期为活动组织单位、监管单位关键信息系统提供重保组织架构设计、安全检查、积极防御、实时检测、响应处置、攻击预测等安全服务，发现重要保障时期被保障单位信息系统可能存在的安全风险，安全防御体系可能存在的薄弱环节，指导修复，提升安全防御能力，保障重要活动、会议从筹备到执行期间的关键信息系统和数据资产安全，确保重大活动、会议顺利圆满完成。重要时期安全保障服务内容包括：网络安全的监测、应急值守、应急处突、攻防演习等。</w:t>
            </w:r>
          </w:p>
          <w:p>
            <w:pPr>
              <w:rPr>
                <w:b/>
                <w:bCs/>
                <w:color w:val="FF0000"/>
                <w:sz w:val="18"/>
                <w:szCs w:val="21"/>
              </w:rPr>
            </w:pPr>
            <w:r>
              <w:rPr>
                <w:rFonts w:hint="eastAsia"/>
                <w:b/>
                <w:bCs/>
                <w:color w:val="FF0000"/>
                <w:sz w:val="18"/>
                <w:szCs w:val="21"/>
              </w:rPr>
              <w:t>服务要求：</w:t>
            </w:r>
          </w:p>
          <w:p>
            <w:pPr>
              <w:rPr>
                <w:sz w:val="18"/>
                <w:szCs w:val="21"/>
              </w:rPr>
            </w:pPr>
            <w:r>
              <w:rPr>
                <w:rFonts w:hint="eastAsia"/>
                <w:sz w:val="18"/>
                <w:szCs w:val="21"/>
              </w:rPr>
              <w:t>15人天（24小时制）</w:t>
            </w:r>
          </w:p>
          <w:p>
            <w:pPr>
              <w:rPr>
                <w:sz w:val="18"/>
                <w:szCs w:val="21"/>
              </w:rPr>
            </w:pPr>
            <w:r>
              <w:rPr>
                <w:rFonts w:hint="eastAsia"/>
                <w:sz w:val="18"/>
                <w:szCs w:val="21"/>
              </w:rPr>
              <w:t>服务成果：</w:t>
            </w:r>
          </w:p>
          <w:p>
            <w:pPr>
              <w:rPr>
                <w:b/>
                <w:bCs/>
                <w:color w:val="FF0000"/>
                <w:sz w:val="18"/>
                <w:szCs w:val="21"/>
              </w:rPr>
            </w:pPr>
            <w:r>
              <w:rPr>
                <w:rFonts w:hint="eastAsia"/>
                <w:sz w:val="18"/>
                <w:szCs w:val="21"/>
              </w:rPr>
              <w:t>《重要时期安全保障服务方案》、《重要时期安全保障服务工作总结》。</w:t>
            </w:r>
          </w:p>
        </w:tc>
        <w:tc>
          <w:tcPr>
            <w:tcW w:w="1289" w:type="dxa"/>
            <w:vAlign w:val="center"/>
          </w:tcPr>
          <w:p>
            <w:pPr>
              <w:jc w:val="center"/>
              <w:rPr>
                <w:sz w:val="18"/>
                <w:szCs w:val="21"/>
              </w:rPr>
            </w:pPr>
            <w:r>
              <w:rPr>
                <w:rFonts w:hint="eastAsia"/>
                <w:sz w:val="18"/>
                <w:szCs w:val="21"/>
              </w:rPr>
              <w:t>1年</w:t>
            </w:r>
          </w:p>
        </w:tc>
      </w:tr>
      <w:tr>
        <w:trPr>
          <w:trHeight w:val="4395" w:hRule="atLeast"/>
        </w:trPr>
        <w:tc>
          <w:tcPr>
            <w:tcW w:w="601" w:type="dxa"/>
            <w:vAlign w:val="center"/>
          </w:tcPr>
          <w:p>
            <w:pPr>
              <w:jc w:val="center"/>
              <w:rPr>
                <w:sz w:val="18"/>
                <w:szCs w:val="21"/>
              </w:rPr>
            </w:pPr>
            <w:r>
              <w:rPr>
                <w:rFonts w:hint="eastAsia"/>
                <w:sz w:val="18"/>
                <w:szCs w:val="21"/>
              </w:rPr>
              <w:t>7</w:t>
            </w:r>
          </w:p>
        </w:tc>
        <w:tc>
          <w:tcPr>
            <w:tcW w:w="1306" w:type="dxa"/>
            <w:vMerge w:val="restart"/>
            <w:vAlign w:val="center"/>
          </w:tcPr>
          <w:p>
            <w:pPr>
              <w:jc w:val="center"/>
              <w:rPr>
                <w:b/>
                <w:bCs/>
                <w:color w:val="FF0000"/>
                <w:sz w:val="18"/>
                <w:szCs w:val="21"/>
              </w:rPr>
            </w:pPr>
            <w:r>
              <w:rPr>
                <w:rFonts w:hint="eastAsia"/>
                <w:b/>
                <w:bCs/>
                <w:color w:val="FF0000"/>
                <w:sz w:val="18"/>
                <w:szCs w:val="21"/>
              </w:rPr>
              <w:t>【事后】</w:t>
            </w:r>
          </w:p>
          <w:p>
            <w:pPr>
              <w:jc w:val="center"/>
              <w:rPr>
                <w:b/>
                <w:bCs/>
                <w:color w:val="FF0000"/>
                <w:sz w:val="18"/>
                <w:szCs w:val="21"/>
              </w:rPr>
            </w:pPr>
            <w:r>
              <w:rPr>
                <w:rFonts w:hint="eastAsia"/>
                <w:b/>
                <w:bCs/>
                <w:sz w:val="18"/>
                <w:szCs w:val="21"/>
              </w:rPr>
              <w:t>故障恢复与加固是关键</w:t>
            </w:r>
          </w:p>
        </w:tc>
        <w:tc>
          <w:tcPr>
            <w:tcW w:w="1093" w:type="dxa"/>
            <w:vAlign w:val="center"/>
          </w:tcPr>
          <w:p>
            <w:pPr>
              <w:jc w:val="center"/>
              <w:rPr>
                <w:b/>
                <w:bCs/>
                <w:sz w:val="18"/>
                <w:szCs w:val="21"/>
              </w:rPr>
            </w:pPr>
            <w:r>
              <w:rPr>
                <w:rFonts w:hint="eastAsia"/>
                <w:b/>
                <w:bCs/>
                <w:sz w:val="18"/>
                <w:szCs w:val="21"/>
              </w:rPr>
              <w:t>应急演练服务</w:t>
            </w:r>
          </w:p>
        </w:tc>
        <w:tc>
          <w:tcPr>
            <w:tcW w:w="4057" w:type="dxa"/>
            <w:vAlign w:val="center"/>
          </w:tcPr>
          <w:p>
            <w:pPr>
              <w:rPr>
                <w:b/>
                <w:bCs/>
                <w:color w:val="FF0000"/>
                <w:sz w:val="18"/>
                <w:szCs w:val="21"/>
              </w:rPr>
            </w:pPr>
            <w:r>
              <w:rPr>
                <w:rFonts w:hint="eastAsia"/>
                <w:b/>
                <w:bCs/>
                <w:color w:val="FF0000"/>
                <w:sz w:val="18"/>
                <w:szCs w:val="21"/>
              </w:rPr>
              <w:t>服务描述：</w:t>
            </w:r>
          </w:p>
          <w:p>
            <w:pPr>
              <w:rPr>
                <w:sz w:val="18"/>
                <w:szCs w:val="21"/>
              </w:rPr>
            </w:pPr>
            <w:r>
              <w:rPr>
                <w:rFonts w:hint="eastAsia"/>
                <w:sz w:val="18"/>
                <w:szCs w:val="21"/>
              </w:rPr>
              <w:t>帮助建立、检验和优化演练及响应机制，从应急响应的实际问题出发，打造出一套符合医院的突发网络安全事件应急演练方案。依据有关网络安全应急预案，开展应对网络安全事件的活动。通过模拟真实的安全事件呈现单位内部应对应急事件处置过程，发现应急预案中存在的问题，在突发事件发生前暴露预案的缺点，验证预案在应对网络安全突发事件所具备的适应性、有效性、完善性等，检验应急工作机制是否完善，找出预案需要进一步完善和修正的地方。主要内容有网络攻击事件演练和设备设施故障事件演练两大场景。</w:t>
            </w:r>
          </w:p>
          <w:p>
            <w:pPr>
              <w:rPr>
                <w:b/>
                <w:bCs/>
                <w:color w:val="FF0000"/>
                <w:sz w:val="18"/>
                <w:szCs w:val="21"/>
              </w:rPr>
            </w:pPr>
            <w:r>
              <w:rPr>
                <w:rFonts w:hint="eastAsia"/>
                <w:b/>
                <w:bCs/>
                <w:color w:val="FF0000"/>
                <w:sz w:val="18"/>
                <w:szCs w:val="21"/>
              </w:rPr>
              <w:t>交付成果：</w:t>
            </w:r>
          </w:p>
          <w:p>
            <w:pPr>
              <w:rPr>
                <w:sz w:val="18"/>
                <w:szCs w:val="21"/>
              </w:rPr>
            </w:pPr>
            <w:r>
              <w:rPr>
                <w:rFonts w:hint="eastAsia"/>
                <w:sz w:val="18"/>
                <w:szCs w:val="21"/>
              </w:rPr>
              <w:t>《应急演练方案》</w:t>
            </w:r>
          </w:p>
          <w:p>
            <w:pPr>
              <w:rPr>
                <w:sz w:val="18"/>
                <w:szCs w:val="21"/>
              </w:rPr>
            </w:pPr>
            <w:r>
              <w:rPr>
                <w:rFonts w:hint="eastAsia"/>
                <w:sz w:val="18"/>
                <w:szCs w:val="21"/>
              </w:rPr>
              <w:t>《应急演练报告》</w:t>
            </w:r>
          </w:p>
        </w:tc>
        <w:tc>
          <w:tcPr>
            <w:tcW w:w="1289" w:type="dxa"/>
            <w:vAlign w:val="center"/>
          </w:tcPr>
          <w:p>
            <w:pPr>
              <w:jc w:val="center"/>
              <w:rPr>
                <w:sz w:val="18"/>
                <w:szCs w:val="21"/>
              </w:rPr>
            </w:pPr>
            <w:r>
              <w:rPr>
                <w:rFonts w:hint="eastAsia"/>
                <w:sz w:val="18"/>
                <w:szCs w:val="21"/>
                <w:highlight w:val="none"/>
              </w:rPr>
              <w:t>1次或以上/年</w:t>
            </w:r>
          </w:p>
        </w:tc>
      </w:tr>
      <w:tr>
        <w:trPr>
          <w:trHeight w:val="3496" w:hRule="atLeast"/>
        </w:trPr>
        <w:tc>
          <w:tcPr>
            <w:tcW w:w="601" w:type="dxa"/>
            <w:vAlign w:val="center"/>
          </w:tcPr>
          <w:p>
            <w:pPr>
              <w:jc w:val="center"/>
              <w:rPr>
                <w:rFonts w:hint="eastAsia" w:eastAsiaTheme="minorEastAsia"/>
                <w:sz w:val="18"/>
                <w:szCs w:val="21"/>
                <w:lang w:eastAsia="zh-CN"/>
              </w:rPr>
            </w:pPr>
            <w:r>
              <w:rPr>
                <w:rFonts w:hint="eastAsia"/>
                <w:sz w:val="18"/>
                <w:szCs w:val="21"/>
                <w:lang w:val="en-US" w:eastAsia="zh-CN"/>
              </w:rPr>
              <w:t>8</w:t>
            </w:r>
          </w:p>
        </w:tc>
        <w:tc>
          <w:tcPr>
            <w:tcW w:w="1306" w:type="dxa"/>
            <w:vMerge w:val="continue"/>
            <w:vAlign w:val="center"/>
          </w:tcPr>
          <w:p>
            <w:pPr>
              <w:jc w:val="center"/>
              <w:rPr>
                <w:b/>
                <w:bCs/>
                <w:color w:val="FF0000"/>
                <w:sz w:val="18"/>
                <w:szCs w:val="21"/>
              </w:rPr>
            </w:pPr>
          </w:p>
        </w:tc>
        <w:tc>
          <w:tcPr>
            <w:tcW w:w="1093" w:type="dxa"/>
            <w:vAlign w:val="center"/>
          </w:tcPr>
          <w:p>
            <w:pPr>
              <w:jc w:val="center"/>
              <w:rPr>
                <w:b/>
                <w:bCs/>
                <w:sz w:val="18"/>
                <w:szCs w:val="21"/>
              </w:rPr>
            </w:pPr>
            <w:r>
              <w:rPr>
                <w:rFonts w:hint="eastAsia"/>
                <w:b/>
                <w:bCs/>
                <w:sz w:val="18"/>
                <w:szCs w:val="21"/>
              </w:rPr>
              <w:t>应急响应服务</w:t>
            </w:r>
          </w:p>
        </w:tc>
        <w:tc>
          <w:tcPr>
            <w:tcW w:w="4057" w:type="dxa"/>
            <w:vAlign w:val="center"/>
          </w:tcPr>
          <w:p>
            <w:pPr>
              <w:rPr>
                <w:b/>
                <w:bCs/>
                <w:color w:val="FF0000"/>
                <w:sz w:val="18"/>
                <w:szCs w:val="21"/>
              </w:rPr>
            </w:pPr>
            <w:r>
              <w:rPr>
                <w:rFonts w:hint="eastAsia"/>
                <w:b/>
                <w:bCs/>
                <w:color w:val="FF0000"/>
                <w:sz w:val="18"/>
                <w:szCs w:val="21"/>
              </w:rPr>
              <w:t>服务描述：</w:t>
            </w:r>
          </w:p>
          <w:p>
            <w:pPr>
              <w:rPr>
                <w:sz w:val="18"/>
                <w:szCs w:val="21"/>
              </w:rPr>
            </w:pPr>
            <w:r>
              <w:rPr>
                <w:rFonts w:hint="eastAsia"/>
                <w:sz w:val="18"/>
                <w:szCs w:val="21"/>
              </w:rPr>
              <w:t>在发生确切的网络安全通报或安全事件时，应急响应实施人员应及时采取行动，限制事件扩散和影响的范围，检查所有受影响的系统，在准确判断安全事件原因的基础上，提出基于安全事件解决方案，追查事件来源，协助后续处置。</w:t>
            </w:r>
          </w:p>
          <w:p>
            <w:pPr>
              <w:rPr>
                <w:b/>
                <w:bCs/>
                <w:color w:val="FF0000"/>
                <w:sz w:val="18"/>
                <w:szCs w:val="21"/>
              </w:rPr>
            </w:pPr>
            <w:r>
              <w:rPr>
                <w:rFonts w:hint="eastAsia"/>
                <w:b/>
                <w:bCs/>
                <w:color w:val="FF0000"/>
                <w:sz w:val="18"/>
                <w:szCs w:val="21"/>
              </w:rPr>
              <w:t>交付成果：</w:t>
            </w:r>
          </w:p>
          <w:p>
            <w:pPr>
              <w:rPr>
                <w:sz w:val="18"/>
                <w:szCs w:val="21"/>
              </w:rPr>
            </w:pPr>
            <w:r>
              <w:rPr>
                <w:rFonts w:hint="eastAsia"/>
                <w:sz w:val="18"/>
                <w:szCs w:val="21"/>
              </w:rPr>
              <w:t>《应急处置报告》按需</w:t>
            </w:r>
          </w:p>
          <w:p>
            <w:pPr>
              <w:rPr>
                <w:b/>
                <w:bCs/>
                <w:sz w:val="18"/>
                <w:szCs w:val="21"/>
              </w:rPr>
            </w:pPr>
            <w:r>
              <w:rPr>
                <w:rFonts w:hint="eastAsia"/>
                <w:sz w:val="18"/>
                <w:szCs w:val="21"/>
              </w:rPr>
              <w:t>《安全加固报告》按需</w:t>
            </w:r>
          </w:p>
        </w:tc>
        <w:tc>
          <w:tcPr>
            <w:tcW w:w="1289" w:type="dxa"/>
            <w:vAlign w:val="center"/>
          </w:tcPr>
          <w:p>
            <w:pPr>
              <w:jc w:val="center"/>
              <w:rPr>
                <w:sz w:val="18"/>
                <w:szCs w:val="21"/>
              </w:rPr>
            </w:pPr>
            <w:r>
              <w:rPr>
                <w:rFonts w:hint="eastAsia"/>
                <w:sz w:val="18"/>
                <w:szCs w:val="21"/>
              </w:rPr>
              <w:t>1年</w:t>
            </w:r>
          </w:p>
        </w:tc>
      </w:tr>
    </w:tbl>
    <w:p>
      <w:pPr>
        <w:pStyle w:val="4"/>
        <w:rPr>
          <w:sz w:val="28"/>
          <w:szCs w:val="28"/>
        </w:rPr>
      </w:pPr>
      <w:r>
        <w:rPr>
          <w:rFonts w:hint="eastAsia"/>
          <w:sz w:val="28"/>
          <w:szCs w:val="28"/>
        </w:rPr>
        <w:t>2.1.2 安全设备维保</w:t>
      </w:r>
    </w:p>
    <w:tbl>
      <w:tblPr>
        <w:tblStyle w:val="9"/>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7"/>
        <w:gridCol w:w="2115"/>
        <w:gridCol w:w="1842"/>
        <w:gridCol w:w="1276"/>
        <w:gridCol w:w="1843"/>
        <w:gridCol w:w="1276"/>
      </w:tblGrid>
      <w:tr>
        <w:trPr>
          <w:trHeight w:val="528" w:hRule="atLeast"/>
        </w:trPr>
        <w:tc>
          <w:tcPr>
            <w:tcW w:w="687" w:type="dxa"/>
            <w:shd w:val="clear" w:color="auto" w:fill="BEBEBE" w:themeFill="background1" w:themeFillShade="BF"/>
            <w:vAlign w:val="center"/>
          </w:tcPr>
          <w:p>
            <w:pPr>
              <w:jc w:val="center"/>
              <w:rPr>
                <w:rFonts w:hint="eastAsia" w:asciiTheme="minorEastAsia" w:hAnsiTheme="minorEastAsia" w:cstheme="minorEastAsia"/>
                <w:b/>
                <w:szCs w:val="21"/>
              </w:rPr>
            </w:pPr>
            <w:r>
              <w:rPr>
                <w:rFonts w:hint="eastAsia" w:asciiTheme="minorEastAsia" w:hAnsiTheme="minorEastAsia" w:cstheme="minorEastAsia"/>
                <w:b/>
                <w:szCs w:val="21"/>
              </w:rPr>
              <w:t>序号</w:t>
            </w:r>
          </w:p>
        </w:tc>
        <w:tc>
          <w:tcPr>
            <w:tcW w:w="2115" w:type="dxa"/>
            <w:shd w:val="clear" w:color="auto" w:fill="BEBEBE" w:themeFill="background1" w:themeFillShade="BF"/>
            <w:vAlign w:val="center"/>
          </w:tcPr>
          <w:p>
            <w:pPr>
              <w:jc w:val="center"/>
              <w:rPr>
                <w:rFonts w:hint="eastAsia" w:asciiTheme="minorEastAsia" w:hAnsiTheme="minorEastAsia" w:cstheme="minorEastAsia"/>
                <w:b/>
                <w:szCs w:val="21"/>
              </w:rPr>
            </w:pPr>
            <w:r>
              <w:rPr>
                <w:rFonts w:hint="eastAsia" w:asciiTheme="minorEastAsia" w:hAnsiTheme="minorEastAsia" w:cstheme="minorEastAsia"/>
                <w:b/>
                <w:szCs w:val="21"/>
              </w:rPr>
              <w:t>服务名称</w:t>
            </w:r>
          </w:p>
        </w:tc>
        <w:tc>
          <w:tcPr>
            <w:tcW w:w="1842" w:type="dxa"/>
            <w:shd w:val="clear" w:color="auto" w:fill="BEBEBE" w:themeFill="background1" w:themeFillShade="BF"/>
            <w:vAlign w:val="center"/>
          </w:tcPr>
          <w:p>
            <w:pPr>
              <w:jc w:val="center"/>
              <w:rPr>
                <w:rFonts w:hint="eastAsia" w:asciiTheme="minorEastAsia" w:hAnsiTheme="minorEastAsia" w:cstheme="minorEastAsia"/>
                <w:b/>
                <w:szCs w:val="21"/>
              </w:rPr>
            </w:pPr>
            <w:r>
              <w:rPr>
                <w:rFonts w:hint="eastAsia" w:asciiTheme="minorEastAsia" w:hAnsiTheme="minorEastAsia" w:cstheme="minorEastAsia"/>
                <w:b/>
                <w:szCs w:val="21"/>
              </w:rPr>
              <w:t>产品型号/设备ID</w:t>
            </w:r>
          </w:p>
        </w:tc>
        <w:tc>
          <w:tcPr>
            <w:tcW w:w="1276" w:type="dxa"/>
            <w:shd w:val="clear" w:color="auto" w:fill="BEBEBE" w:themeFill="background1" w:themeFillShade="BF"/>
            <w:vAlign w:val="center"/>
          </w:tcPr>
          <w:p>
            <w:pPr>
              <w:jc w:val="center"/>
              <w:rPr>
                <w:rFonts w:hint="eastAsia" w:asciiTheme="minorEastAsia" w:hAnsiTheme="minorEastAsia" w:cstheme="minorEastAsia"/>
                <w:b/>
                <w:szCs w:val="21"/>
              </w:rPr>
            </w:pPr>
            <w:r>
              <w:rPr>
                <w:rFonts w:hint="eastAsia" w:asciiTheme="minorEastAsia" w:hAnsiTheme="minorEastAsia" w:cstheme="minorEastAsia"/>
                <w:b/>
                <w:szCs w:val="21"/>
              </w:rPr>
              <w:t>数量（台）</w:t>
            </w:r>
          </w:p>
        </w:tc>
        <w:tc>
          <w:tcPr>
            <w:tcW w:w="1843" w:type="dxa"/>
            <w:shd w:val="clear" w:color="auto" w:fill="BEBEBE" w:themeFill="background1" w:themeFillShade="BF"/>
            <w:vAlign w:val="center"/>
          </w:tcPr>
          <w:p>
            <w:pPr>
              <w:jc w:val="center"/>
              <w:rPr>
                <w:rFonts w:hint="eastAsia" w:asciiTheme="minorEastAsia" w:hAnsiTheme="minorEastAsia" w:cstheme="minorEastAsia"/>
                <w:b/>
                <w:color w:val="FF0000"/>
                <w:szCs w:val="21"/>
              </w:rPr>
            </w:pPr>
            <w:r>
              <w:rPr>
                <w:rFonts w:hint="eastAsia" w:asciiTheme="minorEastAsia" w:hAnsiTheme="minorEastAsia" w:cstheme="minorEastAsia"/>
                <w:b/>
                <w:szCs w:val="21"/>
              </w:rPr>
              <w:t>到期时间</w:t>
            </w:r>
          </w:p>
        </w:tc>
        <w:tc>
          <w:tcPr>
            <w:tcW w:w="1276" w:type="dxa"/>
            <w:shd w:val="clear" w:color="auto" w:fill="BEBEBE" w:themeFill="background1" w:themeFillShade="BF"/>
            <w:vAlign w:val="center"/>
          </w:tcPr>
          <w:p>
            <w:pPr>
              <w:jc w:val="center"/>
              <w:rPr>
                <w:rFonts w:hint="eastAsia" w:asciiTheme="minorEastAsia" w:hAnsiTheme="minorEastAsia" w:cstheme="minorEastAsia"/>
                <w:b/>
                <w:szCs w:val="21"/>
              </w:rPr>
            </w:pPr>
            <w:r>
              <w:rPr>
                <w:rFonts w:hint="eastAsia" w:asciiTheme="minorEastAsia" w:hAnsiTheme="minorEastAsia" w:cstheme="minorEastAsia"/>
                <w:b/>
                <w:szCs w:val="21"/>
              </w:rPr>
              <w:t>维保年限</w:t>
            </w:r>
          </w:p>
        </w:tc>
      </w:tr>
      <w:tr>
        <w:trPr>
          <w:trHeight w:val="187" w:hRule="atLeast"/>
        </w:trPr>
        <w:tc>
          <w:tcPr>
            <w:tcW w:w="687"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c>
          <w:tcPr>
            <w:tcW w:w="2115"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产品质保、软件升级</w:t>
            </w:r>
          </w:p>
        </w:tc>
        <w:tc>
          <w:tcPr>
            <w:tcW w:w="1842" w:type="dxa"/>
            <w:vAlign w:val="center"/>
          </w:tcPr>
          <w:p>
            <w:pPr>
              <w:widowControl/>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AF-1000-B1400</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c>
          <w:tcPr>
            <w:tcW w:w="1843" w:type="dxa"/>
            <w:vAlign w:val="center"/>
          </w:tcPr>
          <w:p>
            <w:pPr>
              <w:jc w:val="center"/>
              <w:rPr>
                <w:rFonts w:hint="default" w:asciiTheme="minorEastAsia" w:hAnsiTheme="minorEastAsia" w:eastAsiaTheme="minorEastAsia" w:cstheme="minorEastAsia"/>
                <w:color w:val="FF0000"/>
                <w:sz w:val="18"/>
                <w:szCs w:val="18"/>
                <w:lang w:val="en-US" w:eastAsia="zh-CN"/>
              </w:rPr>
            </w:pPr>
            <w:r>
              <w:rPr>
                <w:rFonts w:hint="eastAsia" w:asciiTheme="minorEastAsia" w:hAnsiTheme="minorEastAsia" w:cstheme="minorEastAsia"/>
                <w:color w:val="FF0000"/>
                <w:sz w:val="18"/>
                <w:szCs w:val="18"/>
              </w:rPr>
              <w:t>202</w:t>
            </w:r>
            <w:r>
              <w:rPr>
                <w:rFonts w:hint="eastAsia" w:asciiTheme="minorEastAsia" w:hAnsiTheme="minorEastAsia" w:cstheme="minorEastAsia"/>
                <w:color w:val="FF0000"/>
                <w:sz w:val="18"/>
                <w:szCs w:val="18"/>
                <w:lang w:val="en-US" w:eastAsia="zh-CN"/>
              </w:rPr>
              <w:t>6</w:t>
            </w:r>
            <w:r>
              <w:rPr>
                <w:rFonts w:hint="eastAsia" w:asciiTheme="minorEastAsia" w:hAnsiTheme="minorEastAsia" w:cstheme="minorEastAsia"/>
                <w:color w:val="FF0000"/>
                <w:sz w:val="18"/>
                <w:szCs w:val="18"/>
              </w:rPr>
              <w:t>.</w:t>
            </w:r>
            <w:r>
              <w:rPr>
                <w:rFonts w:hint="eastAsia" w:asciiTheme="minorEastAsia" w:hAnsiTheme="minorEastAsia" w:cstheme="minorEastAsia"/>
                <w:color w:val="FF0000"/>
                <w:sz w:val="18"/>
                <w:szCs w:val="18"/>
                <w:lang w:val="en-US" w:eastAsia="zh-CN"/>
              </w:rPr>
              <w:t>11</w:t>
            </w:r>
            <w:r>
              <w:rPr>
                <w:rFonts w:hint="eastAsia" w:asciiTheme="minorEastAsia" w:hAnsiTheme="minorEastAsia" w:cstheme="minorEastAsia"/>
                <w:color w:val="FF0000"/>
                <w:sz w:val="18"/>
                <w:szCs w:val="18"/>
              </w:rPr>
              <w:t>.</w:t>
            </w:r>
            <w:r>
              <w:rPr>
                <w:rFonts w:hint="eastAsia" w:asciiTheme="minorEastAsia" w:hAnsiTheme="minorEastAsia" w:cstheme="minorEastAsia"/>
                <w:color w:val="FF0000"/>
                <w:sz w:val="18"/>
                <w:szCs w:val="18"/>
                <w:lang w:val="en-US" w:eastAsia="zh-CN"/>
              </w:rPr>
              <w:t>13</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r>
      <w:tr>
        <w:trPr>
          <w:trHeight w:val="382" w:hRule="atLeast"/>
        </w:trPr>
        <w:tc>
          <w:tcPr>
            <w:tcW w:w="687"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2</w:t>
            </w:r>
          </w:p>
        </w:tc>
        <w:tc>
          <w:tcPr>
            <w:tcW w:w="2115"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产品质保、软件升级</w:t>
            </w:r>
          </w:p>
        </w:tc>
        <w:tc>
          <w:tcPr>
            <w:tcW w:w="1842" w:type="dxa"/>
            <w:vAlign w:val="center"/>
          </w:tcPr>
          <w:p>
            <w:pPr>
              <w:jc w:val="center"/>
              <w:rPr>
                <w:rFonts w:hint="default" w:asciiTheme="minorEastAsia" w:hAnsiTheme="minorEastAsia" w:eastAsiaTheme="minorEastAsia" w:cstheme="minorEastAsia"/>
                <w:sz w:val="18"/>
                <w:szCs w:val="18"/>
                <w:lang w:val="en-US" w:eastAsia="zh-CN"/>
              </w:rPr>
            </w:pPr>
            <w:r>
              <w:rPr>
                <w:rFonts w:hint="eastAsia" w:asciiTheme="minorEastAsia" w:hAnsiTheme="minorEastAsia" w:cstheme="minorEastAsia"/>
                <w:sz w:val="18"/>
                <w:szCs w:val="18"/>
              </w:rPr>
              <w:t>AF-1000-C600</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c>
          <w:tcPr>
            <w:tcW w:w="1843" w:type="dxa"/>
            <w:vAlign w:val="center"/>
          </w:tcPr>
          <w:p>
            <w:pPr>
              <w:jc w:val="center"/>
              <w:rPr>
                <w:rFonts w:hint="eastAsia" w:asciiTheme="minorEastAsia" w:hAnsiTheme="minorEastAsia" w:eastAsiaTheme="minorEastAsia" w:cstheme="minorEastAsia"/>
                <w:color w:val="FF0000"/>
                <w:sz w:val="18"/>
                <w:szCs w:val="18"/>
                <w:lang w:eastAsia="zh-CN"/>
              </w:rPr>
            </w:pPr>
            <w:r>
              <w:rPr>
                <w:rFonts w:hint="eastAsia" w:asciiTheme="minorEastAsia" w:hAnsiTheme="minorEastAsia" w:cstheme="minorEastAsia"/>
                <w:color w:val="FF0000"/>
                <w:sz w:val="18"/>
                <w:szCs w:val="18"/>
              </w:rPr>
              <w:t>202</w:t>
            </w:r>
            <w:r>
              <w:rPr>
                <w:rFonts w:hint="eastAsia" w:asciiTheme="minorEastAsia" w:hAnsiTheme="minorEastAsia" w:cstheme="minorEastAsia"/>
                <w:color w:val="FF0000"/>
                <w:sz w:val="18"/>
                <w:szCs w:val="18"/>
                <w:lang w:val="en-US" w:eastAsia="zh-CN"/>
              </w:rPr>
              <w:t>6</w:t>
            </w:r>
            <w:r>
              <w:rPr>
                <w:rFonts w:hint="eastAsia" w:asciiTheme="minorEastAsia" w:hAnsiTheme="minorEastAsia" w:cstheme="minorEastAsia"/>
                <w:color w:val="FF0000"/>
                <w:sz w:val="18"/>
                <w:szCs w:val="18"/>
              </w:rPr>
              <w:t>.</w:t>
            </w:r>
            <w:r>
              <w:rPr>
                <w:rFonts w:hint="eastAsia" w:asciiTheme="minorEastAsia" w:hAnsiTheme="minorEastAsia" w:cstheme="minorEastAsia"/>
                <w:color w:val="FF0000"/>
                <w:sz w:val="18"/>
                <w:szCs w:val="18"/>
                <w:lang w:val="en-US" w:eastAsia="zh-CN"/>
              </w:rPr>
              <w:t>11</w:t>
            </w:r>
            <w:r>
              <w:rPr>
                <w:rFonts w:hint="eastAsia" w:asciiTheme="minorEastAsia" w:hAnsiTheme="minorEastAsia" w:cstheme="minorEastAsia"/>
                <w:color w:val="FF0000"/>
                <w:sz w:val="18"/>
                <w:szCs w:val="18"/>
              </w:rPr>
              <w:t>.</w:t>
            </w:r>
            <w:r>
              <w:rPr>
                <w:rFonts w:hint="eastAsia" w:asciiTheme="minorEastAsia" w:hAnsiTheme="minorEastAsia" w:cstheme="minorEastAsia"/>
                <w:color w:val="FF0000"/>
                <w:sz w:val="18"/>
                <w:szCs w:val="18"/>
                <w:lang w:val="en-US" w:eastAsia="zh-CN"/>
              </w:rPr>
              <w:t>13</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r>
      <w:tr>
        <w:trPr>
          <w:trHeight w:val="422" w:hRule="atLeast"/>
        </w:trPr>
        <w:tc>
          <w:tcPr>
            <w:tcW w:w="687"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3</w:t>
            </w:r>
          </w:p>
        </w:tc>
        <w:tc>
          <w:tcPr>
            <w:tcW w:w="2115"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产品质保、软件升级</w:t>
            </w:r>
          </w:p>
        </w:tc>
        <w:tc>
          <w:tcPr>
            <w:tcW w:w="1842"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SIP-1000-E600</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c>
          <w:tcPr>
            <w:tcW w:w="1843" w:type="dxa"/>
            <w:vAlign w:val="center"/>
          </w:tcPr>
          <w:p>
            <w:pPr>
              <w:jc w:val="center"/>
              <w:rPr>
                <w:rFonts w:hint="eastAsia" w:asciiTheme="minorEastAsia" w:hAnsiTheme="minorEastAsia" w:cstheme="minorEastAsia"/>
                <w:color w:val="FF0000"/>
                <w:sz w:val="18"/>
                <w:szCs w:val="18"/>
              </w:rPr>
            </w:pPr>
            <w:r>
              <w:rPr>
                <w:rFonts w:hint="eastAsia" w:asciiTheme="minorEastAsia" w:hAnsiTheme="minorEastAsia" w:cstheme="minorEastAsia"/>
                <w:color w:val="FF0000"/>
                <w:sz w:val="18"/>
                <w:szCs w:val="18"/>
              </w:rPr>
              <w:t>202</w:t>
            </w:r>
            <w:r>
              <w:rPr>
                <w:rFonts w:hint="eastAsia" w:asciiTheme="minorEastAsia" w:hAnsiTheme="minorEastAsia" w:cstheme="minorEastAsia"/>
                <w:color w:val="FF0000"/>
                <w:sz w:val="18"/>
                <w:szCs w:val="18"/>
                <w:lang w:val="en-US" w:eastAsia="zh-CN"/>
              </w:rPr>
              <w:t>6</w:t>
            </w:r>
            <w:r>
              <w:rPr>
                <w:rFonts w:hint="eastAsia" w:asciiTheme="minorEastAsia" w:hAnsiTheme="minorEastAsia" w:cstheme="minorEastAsia"/>
                <w:color w:val="FF0000"/>
                <w:sz w:val="18"/>
                <w:szCs w:val="18"/>
              </w:rPr>
              <w:t>.</w:t>
            </w:r>
            <w:r>
              <w:rPr>
                <w:rFonts w:hint="eastAsia" w:asciiTheme="minorEastAsia" w:hAnsiTheme="minorEastAsia" w:cstheme="minorEastAsia"/>
                <w:color w:val="FF0000"/>
                <w:sz w:val="18"/>
                <w:szCs w:val="18"/>
                <w:lang w:val="en-US" w:eastAsia="zh-CN"/>
              </w:rPr>
              <w:t>11</w:t>
            </w:r>
            <w:r>
              <w:rPr>
                <w:rFonts w:hint="eastAsia" w:asciiTheme="minorEastAsia" w:hAnsiTheme="minorEastAsia" w:cstheme="minorEastAsia"/>
                <w:color w:val="FF0000"/>
                <w:sz w:val="18"/>
                <w:szCs w:val="18"/>
              </w:rPr>
              <w:t>.</w:t>
            </w:r>
            <w:r>
              <w:rPr>
                <w:rFonts w:hint="eastAsia" w:asciiTheme="minorEastAsia" w:hAnsiTheme="minorEastAsia" w:cstheme="minorEastAsia"/>
                <w:color w:val="FF0000"/>
                <w:sz w:val="18"/>
                <w:szCs w:val="18"/>
                <w:lang w:val="en-US" w:eastAsia="zh-CN"/>
              </w:rPr>
              <w:t>13</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r>
      <w:tr>
        <w:trPr>
          <w:trHeight w:val="382" w:hRule="atLeast"/>
        </w:trPr>
        <w:tc>
          <w:tcPr>
            <w:tcW w:w="687"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4</w:t>
            </w:r>
          </w:p>
        </w:tc>
        <w:tc>
          <w:tcPr>
            <w:tcW w:w="2115"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产品质保、软件升级</w:t>
            </w:r>
          </w:p>
        </w:tc>
        <w:tc>
          <w:tcPr>
            <w:tcW w:w="1842"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STA-100-B420</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c>
          <w:tcPr>
            <w:tcW w:w="1843" w:type="dxa"/>
            <w:vAlign w:val="center"/>
          </w:tcPr>
          <w:p>
            <w:pPr>
              <w:jc w:val="center"/>
              <w:rPr>
                <w:rFonts w:hint="eastAsia" w:asciiTheme="minorEastAsia" w:hAnsiTheme="minorEastAsia" w:cstheme="minorEastAsia"/>
                <w:color w:val="FF0000"/>
                <w:sz w:val="18"/>
                <w:szCs w:val="18"/>
              </w:rPr>
            </w:pPr>
            <w:r>
              <w:rPr>
                <w:rFonts w:hint="eastAsia" w:asciiTheme="minorEastAsia" w:hAnsiTheme="minorEastAsia" w:cstheme="minorEastAsia"/>
                <w:color w:val="FF0000"/>
                <w:sz w:val="18"/>
                <w:szCs w:val="18"/>
              </w:rPr>
              <w:t>202</w:t>
            </w:r>
            <w:r>
              <w:rPr>
                <w:rFonts w:hint="eastAsia" w:asciiTheme="minorEastAsia" w:hAnsiTheme="minorEastAsia" w:cstheme="minorEastAsia"/>
                <w:color w:val="FF0000"/>
                <w:sz w:val="18"/>
                <w:szCs w:val="18"/>
                <w:lang w:val="en-US" w:eastAsia="zh-CN"/>
              </w:rPr>
              <w:t>6</w:t>
            </w:r>
            <w:r>
              <w:rPr>
                <w:rFonts w:hint="eastAsia" w:asciiTheme="minorEastAsia" w:hAnsiTheme="minorEastAsia" w:cstheme="minorEastAsia"/>
                <w:color w:val="FF0000"/>
                <w:sz w:val="18"/>
                <w:szCs w:val="18"/>
              </w:rPr>
              <w:t>.</w:t>
            </w:r>
            <w:r>
              <w:rPr>
                <w:rFonts w:hint="eastAsia" w:asciiTheme="minorEastAsia" w:hAnsiTheme="minorEastAsia" w:cstheme="minorEastAsia"/>
                <w:color w:val="FF0000"/>
                <w:sz w:val="18"/>
                <w:szCs w:val="18"/>
                <w:lang w:val="en-US" w:eastAsia="zh-CN"/>
              </w:rPr>
              <w:t>08</w:t>
            </w:r>
            <w:r>
              <w:rPr>
                <w:rFonts w:hint="eastAsia" w:asciiTheme="minorEastAsia" w:hAnsiTheme="minorEastAsia" w:cstheme="minorEastAsia"/>
                <w:color w:val="FF0000"/>
                <w:sz w:val="18"/>
                <w:szCs w:val="18"/>
              </w:rPr>
              <w:t>.</w:t>
            </w:r>
            <w:r>
              <w:rPr>
                <w:rFonts w:hint="eastAsia" w:asciiTheme="minorEastAsia" w:hAnsiTheme="minorEastAsia" w:cstheme="minorEastAsia"/>
                <w:color w:val="FF0000"/>
                <w:sz w:val="18"/>
                <w:szCs w:val="18"/>
                <w:lang w:val="en-US" w:eastAsia="zh-CN"/>
              </w:rPr>
              <w:t>11</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r>
      <w:tr>
        <w:trPr>
          <w:trHeight w:val="449" w:hRule="atLeast"/>
        </w:trPr>
        <w:tc>
          <w:tcPr>
            <w:tcW w:w="687"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5</w:t>
            </w:r>
          </w:p>
        </w:tc>
        <w:tc>
          <w:tcPr>
            <w:tcW w:w="2115"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产品质保、软件升级</w:t>
            </w:r>
          </w:p>
        </w:tc>
        <w:tc>
          <w:tcPr>
            <w:tcW w:w="1842"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AF-100</w:t>
            </w:r>
            <w:r>
              <w:rPr>
                <w:rFonts w:hint="eastAsia" w:asciiTheme="minorEastAsia" w:hAnsiTheme="minorEastAsia" w:cstheme="minorEastAsia"/>
                <w:sz w:val="18"/>
                <w:szCs w:val="18"/>
                <w:lang w:val="en-US" w:eastAsia="zh-CN"/>
              </w:rPr>
              <w:t>-FH1600B</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c>
          <w:tcPr>
            <w:tcW w:w="1843" w:type="dxa"/>
            <w:vAlign w:val="center"/>
          </w:tcPr>
          <w:p>
            <w:pPr>
              <w:jc w:val="center"/>
              <w:rPr>
                <w:rFonts w:hint="default" w:asciiTheme="minorEastAsia" w:hAnsiTheme="minorEastAsia" w:eastAsiaTheme="minorEastAsia" w:cstheme="minorEastAsia"/>
                <w:color w:val="FF0000"/>
                <w:sz w:val="18"/>
                <w:szCs w:val="18"/>
                <w:lang w:val="en-US" w:eastAsia="zh-CN"/>
              </w:rPr>
            </w:pPr>
            <w:r>
              <w:rPr>
                <w:rFonts w:hint="eastAsia" w:asciiTheme="minorEastAsia" w:hAnsiTheme="minorEastAsia" w:cstheme="minorEastAsia"/>
                <w:color w:val="FF0000"/>
                <w:sz w:val="18"/>
                <w:szCs w:val="18"/>
                <w:lang w:val="en-US" w:eastAsia="zh-CN"/>
              </w:rPr>
              <w:t>2026.11.03</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r>
      <w:tr>
        <w:trPr>
          <w:trHeight w:val="449" w:hRule="atLeast"/>
        </w:trPr>
        <w:tc>
          <w:tcPr>
            <w:tcW w:w="687" w:type="dxa"/>
            <w:vAlign w:val="center"/>
          </w:tcPr>
          <w:p>
            <w:pPr>
              <w:jc w:val="center"/>
              <w:rPr>
                <w:rFonts w:hint="eastAsia" w:asciiTheme="minorEastAsia" w:hAnsiTheme="minorEastAsia" w:eastAsiaTheme="minorEastAsia" w:cstheme="minorEastAsia"/>
                <w:sz w:val="18"/>
                <w:szCs w:val="18"/>
                <w:lang w:val="en-US" w:eastAsia="zh-CN"/>
              </w:rPr>
            </w:pPr>
            <w:r>
              <w:rPr>
                <w:rFonts w:hint="eastAsia" w:asciiTheme="minorEastAsia" w:hAnsiTheme="minorEastAsia" w:cstheme="minorEastAsia"/>
                <w:sz w:val="18"/>
                <w:szCs w:val="18"/>
                <w:lang w:val="en-US" w:eastAsia="zh-CN"/>
              </w:rPr>
              <w:t>6</w:t>
            </w:r>
          </w:p>
        </w:tc>
        <w:tc>
          <w:tcPr>
            <w:tcW w:w="2115" w:type="dxa"/>
            <w:shd w:val="clear" w:color="auto" w:fill="auto"/>
            <w:vAlign w:val="center"/>
          </w:tcPr>
          <w:p>
            <w:pPr>
              <w:jc w:val="center"/>
              <w:rPr>
                <w:rFonts w:hint="eastAsia" w:asciiTheme="minorEastAsia" w:hAnsiTheme="minorEastAsia" w:eastAsiaTheme="minorEastAsia" w:cstheme="minorEastAsia"/>
                <w:kern w:val="2"/>
                <w:sz w:val="18"/>
                <w:szCs w:val="18"/>
                <w:lang w:val="en-US" w:eastAsia="zh-CN" w:bidi="ar-SA"/>
              </w:rPr>
            </w:pPr>
            <w:r>
              <w:rPr>
                <w:rFonts w:hint="eastAsia" w:asciiTheme="minorEastAsia" w:hAnsiTheme="minorEastAsia" w:cstheme="minorEastAsia"/>
                <w:sz w:val="18"/>
                <w:szCs w:val="18"/>
              </w:rPr>
              <w:t>产品质保、软件升级</w:t>
            </w:r>
          </w:p>
        </w:tc>
        <w:tc>
          <w:tcPr>
            <w:tcW w:w="1842" w:type="dxa"/>
            <w:shd w:val="clear" w:color="auto" w:fill="auto"/>
            <w:vAlign w:val="center"/>
          </w:tcPr>
          <w:p>
            <w:pPr>
              <w:jc w:val="center"/>
              <w:rPr>
                <w:rFonts w:hint="eastAsia" w:asciiTheme="minorEastAsia" w:hAnsiTheme="minorEastAsia" w:eastAsiaTheme="minorEastAsia" w:cstheme="minorEastAsia"/>
                <w:kern w:val="2"/>
                <w:sz w:val="18"/>
                <w:szCs w:val="18"/>
                <w:lang w:val="en-US" w:eastAsia="zh-CN" w:bidi="ar-SA"/>
              </w:rPr>
            </w:pPr>
            <w:r>
              <w:rPr>
                <w:rFonts w:hint="eastAsia" w:asciiTheme="minorEastAsia" w:hAnsiTheme="minorEastAsia" w:cstheme="minorEastAsia"/>
                <w:sz w:val="18"/>
                <w:szCs w:val="18"/>
              </w:rPr>
              <w:t>AF-100</w:t>
            </w:r>
            <w:r>
              <w:rPr>
                <w:rFonts w:hint="eastAsia" w:asciiTheme="minorEastAsia" w:hAnsiTheme="minorEastAsia" w:cstheme="minorEastAsia"/>
                <w:sz w:val="18"/>
                <w:szCs w:val="18"/>
                <w:lang w:val="en-US" w:eastAsia="zh-CN"/>
              </w:rPr>
              <w:t>-FH1600B</w:t>
            </w:r>
          </w:p>
        </w:tc>
        <w:tc>
          <w:tcPr>
            <w:tcW w:w="1276" w:type="dxa"/>
            <w:shd w:val="clear" w:color="auto" w:fill="auto"/>
            <w:vAlign w:val="center"/>
          </w:tcPr>
          <w:p>
            <w:pPr>
              <w:jc w:val="center"/>
              <w:rPr>
                <w:rFonts w:hint="eastAsia" w:asciiTheme="minorEastAsia" w:hAnsiTheme="minorEastAsia" w:eastAsiaTheme="minorEastAsia" w:cstheme="minorEastAsia"/>
                <w:kern w:val="2"/>
                <w:sz w:val="18"/>
                <w:szCs w:val="18"/>
                <w:lang w:val="en-US" w:eastAsia="zh-CN" w:bidi="ar-SA"/>
              </w:rPr>
            </w:pPr>
            <w:r>
              <w:rPr>
                <w:rFonts w:hint="eastAsia" w:asciiTheme="minorEastAsia" w:hAnsiTheme="minorEastAsia" w:cstheme="minorEastAsia"/>
                <w:sz w:val="18"/>
                <w:szCs w:val="18"/>
              </w:rPr>
              <w:t>1</w:t>
            </w:r>
          </w:p>
        </w:tc>
        <w:tc>
          <w:tcPr>
            <w:tcW w:w="1843" w:type="dxa"/>
            <w:shd w:val="clear" w:color="auto" w:fill="auto"/>
            <w:vAlign w:val="center"/>
          </w:tcPr>
          <w:p>
            <w:pPr>
              <w:jc w:val="center"/>
              <w:rPr>
                <w:rFonts w:hint="eastAsia" w:asciiTheme="minorEastAsia" w:hAnsiTheme="minorEastAsia" w:eastAsiaTheme="minorEastAsia" w:cstheme="minorEastAsia"/>
                <w:color w:val="FF0000"/>
                <w:kern w:val="2"/>
                <w:sz w:val="18"/>
                <w:szCs w:val="18"/>
                <w:lang w:val="en-US" w:eastAsia="zh-CN" w:bidi="ar-SA"/>
              </w:rPr>
            </w:pPr>
            <w:r>
              <w:rPr>
                <w:rFonts w:hint="eastAsia" w:asciiTheme="minorEastAsia" w:hAnsiTheme="minorEastAsia" w:cstheme="minorEastAsia"/>
                <w:color w:val="FF0000"/>
                <w:sz w:val="18"/>
                <w:szCs w:val="18"/>
                <w:lang w:val="en-US" w:eastAsia="zh-CN"/>
              </w:rPr>
              <w:t>2026.11.03</w:t>
            </w:r>
          </w:p>
        </w:tc>
        <w:tc>
          <w:tcPr>
            <w:tcW w:w="1276" w:type="dxa"/>
            <w:shd w:val="clear" w:color="auto" w:fill="auto"/>
            <w:vAlign w:val="center"/>
          </w:tcPr>
          <w:p>
            <w:pPr>
              <w:jc w:val="center"/>
              <w:rPr>
                <w:rFonts w:hint="eastAsia" w:asciiTheme="minorEastAsia" w:hAnsiTheme="minorEastAsia" w:eastAsiaTheme="minorEastAsia" w:cstheme="minorEastAsia"/>
                <w:kern w:val="2"/>
                <w:sz w:val="18"/>
                <w:szCs w:val="18"/>
                <w:lang w:val="en-US" w:eastAsia="zh-CN" w:bidi="ar-SA"/>
              </w:rPr>
            </w:pPr>
            <w:r>
              <w:rPr>
                <w:rFonts w:hint="eastAsia" w:asciiTheme="minorEastAsia" w:hAnsiTheme="minorEastAsia" w:cstheme="minorEastAsia"/>
                <w:sz w:val="18"/>
                <w:szCs w:val="18"/>
              </w:rPr>
              <w:t>1</w:t>
            </w:r>
          </w:p>
        </w:tc>
      </w:tr>
      <w:tr>
        <w:trPr>
          <w:trHeight w:val="509" w:hRule="atLeast"/>
        </w:trPr>
        <w:tc>
          <w:tcPr>
            <w:tcW w:w="687" w:type="dxa"/>
            <w:vAlign w:val="center"/>
          </w:tcPr>
          <w:p>
            <w:pPr>
              <w:jc w:val="center"/>
              <w:rPr>
                <w:rFonts w:hint="default" w:asciiTheme="minorEastAsia" w:hAnsiTheme="minorEastAsia" w:eastAsiaTheme="minorEastAsia" w:cstheme="minorEastAsia"/>
                <w:sz w:val="18"/>
                <w:szCs w:val="18"/>
                <w:lang w:val="en-US" w:eastAsia="zh-CN"/>
              </w:rPr>
            </w:pPr>
            <w:r>
              <w:rPr>
                <w:rFonts w:hint="eastAsia" w:asciiTheme="minorEastAsia" w:hAnsiTheme="minorEastAsia" w:cstheme="minorEastAsia"/>
                <w:sz w:val="18"/>
                <w:szCs w:val="18"/>
                <w:lang w:val="en-US" w:eastAsia="zh-CN"/>
              </w:rPr>
              <w:t>7</w:t>
            </w:r>
          </w:p>
        </w:tc>
        <w:tc>
          <w:tcPr>
            <w:tcW w:w="2115"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服务续期</w:t>
            </w:r>
          </w:p>
        </w:tc>
        <w:tc>
          <w:tcPr>
            <w:tcW w:w="1842"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MSS安全托管服务</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10资产</w:t>
            </w:r>
          </w:p>
        </w:tc>
        <w:tc>
          <w:tcPr>
            <w:tcW w:w="1843" w:type="dxa"/>
            <w:vAlign w:val="center"/>
          </w:tcPr>
          <w:p>
            <w:pPr>
              <w:jc w:val="center"/>
              <w:rPr>
                <w:rFonts w:hint="eastAsia" w:asciiTheme="minorEastAsia" w:hAnsiTheme="minorEastAsia" w:cstheme="minorEastAsia"/>
                <w:color w:val="FF0000"/>
                <w:sz w:val="18"/>
                <w:szCs w:val="18"/>
              </w:rPr>
            </w:pPr>
            <w:r>
              <w:rPr>
                <w:rFonts w:hint="eastAsia" w:asciiTheme="minorEastAsia" w:hAnsiTheme="minorEastAsia" w:cstheme="minorEastAsia"/>
                <w:color w:val="FF0000"/>
                <w:sz w:val="18"/>
                <w:szCs w:val="18"/>
              </w:rPr>
              <w:t>2026.</w:t>
            </w:r>
            <w:r>
              <w:rPr>
                <w:rFonts w:hint="eastAsia" w:asciiTheme="minorEastAsia" w:hAnsiTheme="minorEastAsia" w:cstheme="minorEastAsia"/>
                <w:color w:val="FF0000"/>
                <w:sz w:val="18"/>
                <w:szCs w:val="18"/>
                <w:lang w:val="en-US" w:eastAsia="zh-CN"/>
              </w:rPr>
              <w:t>0</w:t>
            </w:r>
            <w:r>
              <w:rPr>
                <w:rFonts w:hint="eastAsia" w:asciiTheme="minorEastAsia" w:hAnsiTheme="minorEastAsia" w:cstheme="minorEastAsia"/>
                <w:color w:val="FF0000"/>
                <w:sz w:val="18"/>
                <w:szCs w:val="18"/>
              </w:rPr>
              <w:t>8.</w:t>
            </w:r>
            <w:r>
              <w:rPr>
                <w:rFonts w:hint="eastAsia" w:asciiTheme="minorEastAsia" w:hAnsiTheme="minorEastAsia" w:cstheme="minorEastAsia"/>
                <w:color w:val="FF0000"/>
                <w:sz w:val="18"/>
                <w:szCs w:val="18"/>
                <w:lang w:val="en-US" w:eastAsia="zh-CN"/>
              </w:rPr>
              <w:t>0</w:t>
            </w:r>
            <w:r>
              <w:rPr>
                <w:rFonts w:hint="eastAsia" w:asciiTheme="minorEastAsia" w:hAnsiTheme="minorEastAsia" w:cstheme="minorEastAsia"/>
                <w:color w:val="FF0000"/>
                <w:sz w:val="18"/>
                <w:szCs w:val="18"/>
              </w:rPr>
              <w:t>1</w:t>
            </w:r>
          </w:p>
        </w:tc>
        <w:tc>
          <w:tcPr>
            <w:tcW w:w="1276" w:type="dxa"/>
            <w:vAlign w:val="center"/>
          </w:tcPr>
          <w:p>
            <w:pPr>
              <w:jc w:val="center"/>
              <w:rPr>
                <w:rFonts w:hint="eastAsia" w:asciiTheme="minorEastAsia" w:hAnsiTheme="minorEastAsia" w:cstheme="minorEastAsia"/>
                <w:sz w:val="18"/>
                <w:szCs w:val="18"/>
              </w:rPr>
            </w:pPr>
            <w:r>
              <w:rPr>
                <w:rFonts w:hint="eastAsia" w:asciiTheme="minorEastAsia" w:hAnsiTheme="minorEastAsia" w:cstheme="minorEastAsia"/>
                <w:sz w:val="18"/>
                <w:szCs w:val="18"/>
              </w:rPr>
              <w:t>1</w:t>
            </w:r>
          </w:p>
        </w:tc>
      </w:tr>
    </w:tbl>
    <w:p>
      <w:pPr>
        <w:pStyle w:val="4"/>
        <w:rPr>
          <w:sz w:val="28"/>
          <w:szCs w:val="28"/>
        </w:rPr>
      </w:pPr>
      <w:r>
        <w:rPr>
          <w:rFonts w:hint="eastAsia"/>
          <w:sz w:val="28"/>
          <w:szCs w:val="28"/>
        </w:rPr>
        <w:t>2.1.3 安全托管运营服务</w:t>
      </w:r>
    </w:p>
    <w:tbl>
      <w:tblPr>
        <w:tblStyle w:val="8"/>
        <w:tblW w:w="546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40"/>
        <w:gridCol w:w="1281"/>
        <w:gridCol w:w="7084"/>
      </w:tblGrid>
      <w:tr>
        <w:trPr>
          <w:trHeight w:val="444" w:hRule="atLeast"/>
          <w:jc w:val="center"/>
        </w:trPr>
        <w:tc>
          <w:tcPr>
            <w:tcW w:w="513" w:type="pct"/>
            <w:gridSpan w:val="2"/>
            <w:vAlign w:val="center"/>
          </w:tcPr>
          <w:p>
            <w:pPr>
              <w:widowControl/>
              <w:adjustRightInd w:val="0"/>
              <w:snapToGrid w:val="0"/>
              <w:rPr>
                <w:rFonts w:hint="eastAsia" w:cs="仿宋" w:asciiTheme="minorEastAsia" w:hAnsiTheme="minorEastAsia"/>
                <w:b/>
                <w:color w:val="000000"/>
                <w:kern w:val="0"/>
                <w:sz w:val="18"/>
                <w:szCs w:val="18"/>
              </w:rPr>
            </w:pPr>
            <w:r>
              <w:rPr>
                <w:rFonts w:hint="eastAsia" w:cs="仿宋" w:asciiTheme="minorEastAsia" w:hAnsiTheme="minorEastAsia"/>
                <w:b/>
                <w:color w:val="000000"/>
                <w:kern w:val="0"/>
                <w:sz w:val="18"/>
                <w:szCs w:val="18"/>
              </w:rPr>
              <w:t>服务类</w:t>
            </w:r>
          </w:p>
        </w:tc>
        <w:tc>
          <w:tcPr>
            <w:tcW w:w="687" w:type="pct"/>
            <w:vAlign w:val="center"/>
          </w:tcPr>
          <w:p>
            <w:pPr>
              <w:widowControl/>
              <w:adjustRightInd w:val="0"/>
              <w:snapToGrid w:val="0"/>
              <w:rPr>
                <w:rFonts w:hint="eastAsia" w:cs="仿宋" w:asciiTheme="minorEastAsia" w:hAnsiTheme="minorEastAsia"/>
                <w:b/>
                <w:color w:val="000000"/>
                <w:kern w:val="0"/>
                <w:sz w:val="18"/>
                <w:szCs w:val="18"/>
              </w:rPr>
            </w:pPr>
            <w:r>
              <w:rPr>
                <w:rFonts w:hint="eastAsia" w:cs="仿宋" w:asciiTheme="minorEastAsia" w:hAnsiTheme="minorEastAsia"/>
                <w:b/>
                <w:color w:val="000000"/>
                <w:kern w:val="0"/>
                <w:sz w:val="18"/>
                <w:szCs w:val="18"/>
              </w:rPr>
              <w:t>服务类型</w:t>
            </w:r>
          </w:p>
        </w:tc>
        <w:tc>
          <w:tcPr>
            <w:tcW w:w="3801" w:type="pct"/>
            <w:vAlign w:val="center"/>
          </w:tcPr>
          <w:p>
            <w:pPr>
              <w:widowControl/>
              <w:adjustRightInd w:val="0"/>
              <w:snapToGrid w:val="0"/>
              <w:rPr>
                <w:rFonts w:hint="eastAsia" w:cs="仿宋" w:asciiTheme="minorEastAsia" w:hAnsiTheme="minorEastAsia"/>
                <w:b/>
                <w:color w:val="000000"/>
                <w:kern w:val="0"/>
                <w:sz w:val="18"/>
                <w:szCs w:val="18"/>
              </w:rPr>
            </w:pPr>
            <w:r>
              <w:rPr>
                <w:rFonts w:hint="eastAsia" w:cs="仿宋" w:asciiTheme="minorEastAsia" w:hAnsiTheme="minorEastAsia"/>
                <w:b/>
                <w:color w:val="000000"/>
                <w:kern w:val="0"/>
                <w:sz w:val="18"/>
                <w:szCs w:val="18"/>
              </w:rPr>
              <w:t>内容及要求</w:t>
            </w:r>
          </w:p>
        </w:tc>
      </w:tr>
      <w:tr>
        <w:trPr>
          <w:trHeight w:val="696" w:hRule="atLeast"/>
          <w:jc w:val="center"/>
        </w:trPr>
        <w:tc>
          <w:tcPr>
            <w:tcW w:w="513" w:type="pct"/>
            <w:gridSpan w:val="2"/>
            <w:vMerge w:val="restart"/>
            <w:vAlign w:val="center"/>
          </w:tcPr>
          <w:p>
            <w:pPr>
              <w:widowControl/>
              <w:rPr>
                <w:rFonts w:hint="eastAsia" w:cs="仿宋" w:asciiTheme="minorEastAsia" w:hAnsiTheme="minorEastAsia"/>
                <w:b/>
                <w:bCs/>
                <w:color w:val="000000"/>
                <w:kern w:val="0"/>
                <w:sz w:val="18"/>
                <w:szCs w:val="18"/>
              </w:rPr>
            </w:pPr>
            <w:r>
              <w:rPr>
                <w:rFonts w:hint="eastAsia" w:cs="仿宋" w:asciiTheme="minorEastAsia" w:hAnsiTheme="minorEastAsia"/>
                <w:b/>
                <w:bCs/>
                <w:color w:val="000000"/>
                <w:kern w:val="0"/>
                <w:sz w:val="18"/>
                <w:szCs w:val="18"/>
              </w:rPr>
              <w:t>服务内容要求</w:t>
            </w:r>
          </w:p>
        </w:tc>
        <w:tc>
          <w:tcPr>
            <w:tcW w:w="687" w:type="pct"/>
            <w:vMerge w:val="restar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资产识别与梳理</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投标方需借助安全工具对招标方资产进行识别和梳理，并在后续服务过程中根据识别的资产变化情况触发资产变更等相关服务流程，确保资产信息的准确性和全面性；</w:t>
            </w:r>
          </w:p>
        </w:tc>
      </w:tr>
      <w:tr>
        <w:trPr>
          <w:trHeight w:val="1712"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投标方需结合安全工具发现的资产信息，首次进行服务范围内资产的全面梳理（梳理的信息包含支撑业务系统运转的操作系统、数据库、中间件、应用系统的版本，类型，IP地址；应用开放协议和端口；应用系统管理方式、资产的重要性以及网络拓扑），并将信息录入到安全运营平台中进行管理；当资产发生变更时，安全专家对变更信息进行确认与更新；</w:t>
            </w:r>
          </w:p>
        </w:tc>
      </w:tr>
      <w:tr>
        <w:trPr>
          <w:trHeight w:val="50"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restar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安全现状评估</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系统与Web漏洞扫描：对操作系统、数据库、常见应用/协议、Web通用漏洞与常规漏洞进行漏洞扫描；</w:t>
            </w:r>
          </w:p>
        </w:tc>
      </w:tr>
      <w:tr>
        <w:trPr>
          <w:trHeight w:val="50"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弱口令扫描：实现信息化资产不同应用弱口令猜解检测，如：SMB、Mssql、Mysql、Oracle、smtp、VNC、ftp、telnet、ssh、mysql、tomcat等；</w:t>
            </w:r>
          </w:p>
        </w:tc>
      </w:tr>
      <w:tr>
        <w:trPr>
          <w:trHeight w:val="50"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基线配置核查：检查支撑信息化业务的主机操作系统、数据库、中间件的基线配置情况，确保达到相应的安全防护要求。检查项包含但不限于帐号和口令管理、认证、授权策略、网络与服务、进程和启动、文件系统权限、访问控制等配置情况；</w:t>
            </w:r>
          </w:p>
        </w:tc>
      </w:tr>
      <w:tr>
        <w:trPr>
          <w:trHeight w:val="50"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针对漏洞利用攻击行为、Webshell上传行为、Web系统目录遍历攻击行为、SQL注入攻击行为、信息泄露攻击行为、口令暴力破解攻击行为、僵尸网络攻击行为、系统命令注入攻击行为及僵尸网络攻击</w:t>
            </w:r>
            <w:bookmarkStart w:id="0" w:name="_GoBack"/>
            <w:bookmarkEnd w:id="0"/>
            <w:r>
              <w:rPr>
                <w:rFonts w:hint="eastAsia" w:cs="仿宋" w:asciiTheme="minorEastAsia" w:hAnsiTheme="minorEastAsia"/>
                <w:color w:val="000000"/>
                <w:kern w:val="0"/>
                <w:sz w:val="18"/>
                <w:szCs w:val="18"/>
              </w:rPr>
              <w:t>行为进行分析评估，判断攻击行为是否成功以及业务风险点；</w:t>
            </w:r>
          </w:p>
        </w:tc>
      </w:tr>
      <w:tr>
        <w:trPr>
          <w:trHeight w:val="50"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问题处置</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投标方需对发现的问题进行处置，包含内网脆弱性问题，病毒类事件，入侵行为，勒索、挖矿类事件等；</w:t>
            </w:r>
          </w:p>
        </w:tc>
      </w:tr>
      <w:tr>
        <w:trPr>
          <w:trHeight w:val="423"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restar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脆弱性管理</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脆弱性扫描与验证：投标方需提供不少于每月一次针对服务范围内的资产的系统脆弱性和Web漏洞进行全量扫描，并针对发现的脆弱性进行验证，验证脆弱性在已有的安全体系发生的风险及分析发生后可造成的危害；</w:t>
            </w:r>
          </w:p>
        </w:tc>
      </w:tr>
      <w:tr>
        <w:trPr>
          <w:trHeight w:val="330"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b/>
                <w:color w:val="EE0000"/>
                <w:kern w:val="0"/>
                <w:sz w:val="18"/>
                <w:szCs w:val="18"/>
              </w:rPr>
              <w:t>优先级排序：★</w:t>
            </w:r>
            <w:r>
              <w:rPr>
                <w:rFonts w:cs="仿宋" w:asciiTheme="minorEastAsia" w:hAnsiTheme="minorEastAsia"/>
                <w:color w:val="EE0000"/>
                <w:kern w:val="0"/>
                <w:sz w:val="18"/>
                <w:szCs w:val="18"/>
              </w:rPr>
              <w:t>针对服务范围内资产扫描到的高危可利用漏洞，投标方应当为招标方做好每一个高危可利用漏洞的防护工作，包括但不限于为招标方提供漏洞修复方案和安全设备防护策略，以及帮助招标方配置防护规则，保证招标方不因此出现重大事件和损失；</w:t>
            </w:r>
            <w:r>
              <w:rPr>
                <w:rFonts w:hint="eastAsia" w:cs="仿宋" w:asciiTheme="minorEastAsia" w:hAnsiTheme="minorEastAsia"/>
                <w:color w:val="EE0000"/>
                <w:kern w:val="0"/>
                <w:sz w:val="18"/>
                <w:szCs w:val="18"/>
              </w:rPr>
              <w:t>（提供</w:t>
            </w:r>
            <w:r>
              <w:rPr>
                <w:rFonts w:cs="仿宋" w:asciiTheme="minorEastAsia" w:hAnsiTheme="minorEastAsia"/>
                <w:color w:val="EE0000"/>
                <w:kern w:val="0"/>
                <w:sz w:val="18"/>
                <w:szCs w:val="18"/>
              </w:rPr>
              <w:t>服务平台具备高危可利用漏洞防护规则的证明</w:t>
            </w:r>
            <w:r>
              <w:rPr>
                <w:rFonts w:hint="eastAsia" w:cs="仿宋" w:asciiTheme="minorEastAsia" w:hAnsiTheme="minorEastAsia"/>
                <w:color w:val="EE0000"/>
                <w:kern w:val="0"/>
                <w:sz w:val="18"/>
                <w:szCs w:val="18"/>
              </w:rPr>
              <w:t>）</w:t>
            </w:r>
          </w:p>
        </w:tc>
      </w:tr>
      <w:tr>
        <w:trPr>
          <w:trHeight w:val="696"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adjustRightInd w:val="0"/>
              <w:snapToGrid w:val="0"/>
              <w:rPr>
                <w:rFonts w:hint="eastAsia" w:cs="仿宋" w:asciiTheme="minorEastAsia" w:hAnsiTheme="minorEastAsia"/>
                <w:color w:val="000000"/>
                <w:kern w:val="0"/>
                <w:sz w:val="18"/>
                <w:szCs w:val="18"/>
              </w:rPr>
            </w:pPr>
            <w:r>
              <w:rPr>
                <w:rFonts w:hint="eastAsia" w:cs="仿宋" w:asciiTheme="minorEastAsia" w:hAnsiTheme="minorEastAsia"/>
                <w:b/>
                <w:color w:val="000000"/>
                <w:kern w:val="0"/>
                <w:sz w:val="18"/>
                <w:szCs w:val="18"/>
              </w:rPr>
              <w:t>脆弱性验证：</w:t>
            </w:r>
            <w:r>
              <w:rPr>
                <w:rFonts w:hint="eastAsia" w:cs="仿宋" w:asciiTheme="minorEastAsia" w:hAnsiTheme="minorEastAsia"/>
                <w:color w:val="000000"/>
                <w:kern w:val="0"/>
                <w:sz w:val="18"/>
                <w:szCs w:val="18"/>
              </w:rPr>
              <w:t>提供脆弱性验证服务，针对发现的脆弱性问题进行验证，验证脆弱性在已有的安全体系发生的风险及分析发生后可造成的危害。针对已经验证的脆弱性，自动生成工单，安全专家跟进修复状态，各个处理进度透明，方便招标方清晰了解当前脆弱性的处置状态，将脆弱性处理工作可视化；</w:t>
            </w:r>
          </w:p>
        </w:tc>
      </w:tr>
      <w:tr>
        <w:trPr>
          <w:trHeight w:val="348"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b/>
                <w:bCs/>
                <w:color w:val="000000"/>
                <w:kern w:val="0"/>
                <w:sz w:val="18"/>
                <w:szCs w:val="18"/>
              </w:rPr>
            </w:pPr>
            <w:r>
              <w:rPr>
                <w:rFonts w:hint="eastAsia" w:cs="仿宋" w:asciiTheme="minorEastAsia" w:hAnsiTheme="minorEastAsia"/>
                <w:b/>
                <w:bCs/>
                <w:color w:val="000000"/>
                <w:kern w:val="0"/>
                <w:sz w:val="18"/>
                <w:szCs w:val="18"/>
              </w:rPr>
              <w:t>服务催单：</w:t>
            </w:r>
            <w:r>
              <w:rPr>
                <w:rFonts w:hint="eastAsia" w:cs="仿宋" w:asciiTheme="minorEastAsia" w:hAnsiTheme="minorEastAsia"/>
                <w:color w:val="000000"/>
                <w:kern w:val="0"/>
                <w:sz w:val="18"/>
                <w:szCs w:val="18"/>
              </w:rPr>
              <w:t>针对服务平台生成的工单，招标方可按需催单，用户可在服务平台上采用邮件等方式提醒安全专家加快协助处置，督促投标方第一时间处理；</w:t>
            </w:r>
          </w:p>
        </w:tc>
      </w:tr>
      <w:tr>
        <w:trPr>
          <w:trHeight w:val="348"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b/>
                <w:bCs/>
                <w:color w:val="000000"/>
                <w:kern w:val="0"/>
                <w:sz w:val="18"/>
                <w:szCs w:val="18"/>
              </w:rPr>
            </w:pPr>
            <w:r>
              <w:rPr>
                <w:rFonts w:hint="eastAsia" w:cs="仿宋" w:asciiTheme="minorEastAsia" w:hAnsiTheme="minorEastAsia"/>
                <w:b/>
                <w:bCs/>
                <w:color w:val="000000"/>
                <w:kern w:val="0"/>
                <w:sz w:val="18"/>
                <w:szCs w:val="18"/>
              </w:rPr>
              <w:t>脆弱性复测：</w:t>
            </w:r>
            <w:r>
              <w:rPr>
                <w:rFonts w:hint="eastAsia" w:cs="仿宋" w:asciiTheme="minorEastAsia" w:hAnsiTheme="minorEastAsia"/>
                <w:color w:val="000000"/>
                <w:kern w:val="0"/>
                <w:sz w:val="18"/>
                <w:szCs w:val="18"/>
              </w:rPr>
              <w:t>需提供脆弱性复测措施，及时检验脆弱性真实修复情况。投标方要支持招标方可按需针对指定脆弱性问题，指定资产等小范围进行，降低脆弱性复测时的潜在影响范围；</w:t>
            </w:r>
          </w:p>
        </w:tc>
      </w:tr>
      <w:tr>
        <w:trPr>
          <w:trHeight w:val="457"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b/>
                <w:bCs/>
                <w:color w:val="000000"/>
                <w:kern w:val="0"/>
                <w:sz w:val="18"/>
                <w:szCs w:val="18"/>
              </w:rPr>
            </w:pPr>
            <w:r>
              <w:rPr>
                <w:rFonts w:hint="eastAsia" w:cs="仿宋" w:asciiTheme="minorEastAsia" w:hAnsiTheme="minorEastAsia"/>
                <w:b/>
                <w:bCs/>
                <w:color w:val="000000"/>
                <w:kern w:val="0"/>
                <w:sz w:val="18"/>
                <w:szCs w:val="18"/>
              </w:rPr>
              <w:t>脆弱性状态总览：</w:t>
            </w:r>
            <w:r>
              <w:rPr>
                <w:rFonts w:hint="eastAsia" w:cs="仿宋" w:asciiTheme="minorEastAsia" w:hAnsiTheme="minorEastAsia"/>
                <w:b/>
                <w:color w:val="000000"/>
                <w:kern w:val="0"/>
                <w:sz w:val="18"/>
                <w:szCs w:val="18"/>
              </w:rPr>
              <w:t>★</w:t>
            </w:r>
            <w:r>
              <w:rPr>
                <w:rFonts w:hint="eastAsia" w:cs="仿宋" w:asciiTheme="minorEastAsia" w:hAnsiTheme="minorEastAsia"/>
                <w:color w:val="000000"/>
                <w:kern w:val="0"/>
                <w:sz w:val="18"/>
                <w:szCs w:val="18"/>
              </w:rPr>
              <w:t>对发现的脆弱性建立状态总览机制，自动化持续跟踪脆弱性情况，清晰直观地展示脆弱性的修复情况，遗留情况以及脆弱性对比情况，使得招标方可做到脆弱性的可视、可管、可控；（提供脆弱性管理功能平台截图，直观展示脆弱性管理情况）</w:t>
            </w:r>
          </w:p>
        </w:tc>
      </w:tr>
      <w:tr>
        <w:trPr>
          <w:trHeight w:val="486"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restar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威胁管理</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结合大数据分析、人工智能、云端专家提供安全事件发现服务：依托于安全防护组件、检测响应组件和安全平台，将海量安全数据脱敏，包括脆弱性信息、共享威胁情报、异常流量、攻击日志、病毒日志等数据，经由大数据处理平台结合人工智能和云端安全专家使用多种数据分析算法模型进行数据归因关联分析，实时监测网络安全状态,发现各类安全事件，并自动生成工单；</w:t>
            </w:r>
          </w:p>
        </w:tc>
      </w:tr>
      <w:tr>
        <w:trPr>
          <w:trHeight w:val="1431"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b/>
                <w:color w:val="000000"/>
                <w:kern w:val="0"/>
                <w:sz w:val="18"/>
                <w:szCs w:val="18"/>
              </w:rPr>
              <w:t>★</w:t>
            </w:r>
            <w:r>
              <w:rPr>
                <w:rFonts w:hint="eastAsia" w:cs="仿宋" w:asciiTheme="minorEastAsia" w:hAnsiTheme="minorEastAsia"/>
                <w:color w:val="000000"/>
                <w:kern w:val="0"/>
                <w:sz w:val="18"/>
                <w:szCs w:val="18"/>
              </w:rPr>
              <w:t>实时监测网络安全状态，对攻击事件自动化生成工单，及时进行分析与预警。攻击事件包含境外黑客攻击事件、暴力破解攻击事件、持续攻击事件；（提供安全事件（如暴力破解）的工单举证截图，需展示当前安全事件的处置状态）</w:t>
            </w:r>
          </w:p>
        </w:tc>
      </w:tr>
      <w:tr>
        <w:trPr>
          <w:trHeight w:val="1307"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实时监测网络安全状态，对病毒事件自动化生成工单,及时进行分析与预警。病毒类型包含勒索型、流行病毒、挖矿型、蠕虫型、外发DOS型、C&amp;C访问型、文件感染型、木马型；</w:t>
            </w:r>
          </w:p>
        </w:tc>
      </w:tr>
      <w:tr>
        <w:trPr>
          <w:trHeight w:val="1222" w:hRule="atLeast"/>
          <w:jc w:val="center"/>
        </w:trPr>
        <w:tc>
          <w:tcPr>
            <w:tcW w:w="513" w:type="pct"/>
            <w:gridSpan w:val="2"/>
            <w:vMerge w:val="continue"/>
            <w:vAlign w:val="center"/>
          </w:tcPr>
          <w:p>
            <w:pPr>
              <w:widowControl/>
              <w:rPr>
                <w:rFonts w:hint="eastAsia" w:cs="仿宋" w:asciiTheme="minorEastAsia" w:hAnsiTheme="minorEastAsia"/>
                <w:b/>
                <w:bCs/>
                <w:color w:val="000000"/>
                <w:kern w:val="0"/>
                <w:sz w:val="18"/>
                <w:szCs w:val="18"/>
              </w:rPr>
            </w:pPr>
          </w:p>
        </w:tc>
        <w:tc>
          <w:tcPr>
            <w:tcW w:w="687" w:type="pc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事件管理</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基于主动响应和被动响应流程，对页面篡改、通报、断网、webshell、黑链等各类严重安全事件客户可以在平台上直接发起服务咨询，云端进行紧急响应和处置；</w:t>
            </w:r>
          </w:p>
        </w:tc>
      </w:tr>
      <w:tr>
        <w:trPr>
          <w:trHeight w:val="346" w:hRule="atLeast"/>
          <w:jc w:val="center"/>
        </w:trPr>
        <w:tc>
          <w:tcPr>
            <w:tcW w:w="5000" w:type="pct"/>
            <w:gridSpan w:val="4"/>
            <w:vAlign w:val="center"/>
          </w:tcPr>
          <w:p>
            <w:pPr>
              <w:widowControl/>
              <w:jc w:val="center"/>
              <w:rPr>
                <w:rFonts w:hint="eastAsia" w:cs="仿宋" w:asciiTheme="minorEastAsia" w:hAnsiTheme="minorEastAsia"/>
                <w:b/>
                <w:bCs/>
                <w:color w:val="000000"/>
                <w:kern w:val="0"/>
                <w:sz w:val="18"/>
                <w:szCs w:val="18"/>
              </w:rPr>
            </w:pPr>
            <w:r>
              <w:rPr>
                <w:rFonts w:hint="eastAsia" w:cs="仿宋" w:asciiTheme="minorEastAsia" w:hAnsiTheme="minorEastAsia"/>
                <w:b/>
                <w:bCs/>
                <w:color w:val="000000"/>
                <w:kern w:val="0"/>
                <w:sz w:val="18"/>
                <w:szCs w:val="18"/>
              </w:rPr>
              <w:t>服务平台和用户Portal</w:t>
            </w:r>
          </w:p>
        </w:tc>
      </w:tr>
      <w:tr>
        <w:trPr>
          <w:trHeight w:val="1757" w:hRule="atLeast"/>
          <w:jc w:val="center"/>
        </w:trPr>
        <w:tc>
          <w:tcPr>
            <w:tcW w:w="513" w:type="pct"/>
            <w:gridSpan w:val="2"/>
            <w:vMerge w:val="restart"/>
            <w:vAlign w:val="center"/>
          </w:tcPr>
          <w:p>
            <w:pPr>
              <w:widowControl/>
              <w:rPr>
                <w:rFonts w:hint="eastAsia" w:cs="仿宋" w:asciiTheme="minorEastAsia" w:hAnsiTheme="minorEastAsia"/>
                <w:color w:val="000000"/>
                <w:kern w:val="0"/>
                <w:sz w:val="18"/>
                <w:szCs w:val="18"/>
              </w:rPr>
            </w:pPr>
          </w:p>
        </w:tc>
        <w:tc>
          <w:tcPr>
            <w:tcW w:w="687" w:type="pct"/>
            <w:vMerge w:val="restart"/>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b/>
                <w:color w:val="000000"/>
                <w:kern w:val="0"/>
                <w:sz w:val="18"/>
                <w:szCs w:val="18"/>
              </w:rPr>
              <w:t>★</w:t>
            </w:r>
            <w:r>
              <w:rPr>
                <w:rFonts w:hint="eastAsia" w:cs="仿宋" w:asciiTheme="minorEastAsia" w:hAnsiTheme="minorEastAsia"/>
                <w:color w:val="000000"/>
                <w:kern w:val="0"/>
                <w:sz w:val="18"/>
                <w:szCs w:val="18"/>
              </w:rPr>
              <w:t>支持面向招标方的安全态势展示，展示出当前招标方遭受的威胁事件信息以及脆弱性信息统计，并支持服务专家按照资产类别、威胁类型进行定制化筛选查看，能直观感受到招标方当前的风险态势情况；（提供服务平台漏洞表、事件表统计信息截图，并证明支持按照资产类别、威胁类型进行定制化筛选查看）</w:t>
            </w:r>
          </w:p>
        </w:tc>
      </w:tr>
      <w:tr>
        <w:trPr>
          <w:trHeight w:val="346" w:hRule="atLeast"/>
          <w:jc w:val="center"/>
        </w:trPr>
        <w:tc>
          <w:tcPr>
            <w:tcW w:w="513" w:type="pct"/>
            <w:gridSpan w:val="2"/>
            <w:vMerge w:val="continue"/>
            <w:vAlign w:val="center"/>
          </w:tcPr>
          <w:p>
            <w:pPr>
              <w:widowControl/>
              <w:rPr>
                <w:rFonts w:hint="eastAsia" w:cs="仿宋" w:asciiTheme="minorEastAsia" w:hAnsiTheme="minorEastAsia"/>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服务平台支持面向招标方的安全报告与交付物管理，可生成、导出、下载各类安全报告，包括但不限于《安全服务值守日报》、《特殊时期值守报告》、《安全运营周报》、《安全运营月报》；</w:t>
            </w:r>
          </w:p>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所有可导出报告支持按照自定义模块进行导出，可自定义模块必须包括但不限于事件管理、攻击威胁、脆弱性管理；</w:t>
            </w:r>
          </w:p>
        </w:tc>
      </w:tr>
      <w:tr>
        <w:trPr>
          <w:trHeight w:val="346" w:hRule="atLeast"/>
          <w:jc w:val="center"/>
        </w:trPr>
        <w:tc>
          <w:tcPr>
            <w:tcW w:w="513" w:type="pct"/>
            <w:gridSpan w:val="2"/>
            <w:vMerge w:val="continue"/>
            <w:vAlign w:val="center"/>
          </w:tcPr>
          <w:p>
            <w:pPr>
              <w:widowControl/>
              <w:rPr>
                <w:rFonts w:hint="eastAsia" w:cs="仿宋" w:asciiTheme="minorEastAsia" w:hAnsiTheme="minorEastAsia"/>
                <w:color w:val="000000"/>
                <w:kern w:val="0"/>
                <w:sz w:val="18"/>
                <w:szCs w:val="18"/>
              </w:rPr>
            </w:pPr>
          </w:p>
        </w:tc>
        <w:tc>
          <w:tcPr>
            <w:tcW w:w="687" w:type="pc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工单类型</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平台支持的工单类型应包含内部威胁工单、外部威胁工单、脆弱性工单、应急工单、策略工单、其他工单。</w:t>
            </w:r>
          </w:p>
        </w:tc>
      </w:tr>
      <w:tr>
        <w:trPr>
          <w:trHeight w:val="346" w:hRule="atLeast"/>
          <w:jc w:val="center"/>
        </w:trPr>
        <w:tc>
          <w:tcPr>
            <w:tcW w:w="513" w:type="pct"/>
            <w:gridSpan w:val="2"/>
            <w:vMerge w:val="continue"/>
            <w:vAlign w:val="center"/>
          </w:tcPr>
          <w:p>
            <w:pPr>
              <w:widowControl/>
              <w:rPr>
                <w:rFonts w:hint="eastAsia" w:cs="仿宋" w:asciiTheme="minorEastAsia" w:hAnsiTheme="minorEastAsia"/>
                <w:color w:val="000000"/>
                <w:kern w:val="0"/>
                <w:sz w:val="18"/>
                <w:szCs w:val="18"/>
              </w:rPr>
            </w:pPr>
          </w:p>
        </w:tc>
        <w:tc>
          <w:tcPr>
            <w:tcW w:w="687" w:type="pc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告警工单管理</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支持安全告警管理：根据大数据分析平台生成的威胁告警，展示出当前招标方所有的威胁告警信息。</w:t>
            </w:r>
          </w:p>
        </w:tc>
      </w:tr>
      <w:tr>
        <w:trPr>
          <w:trHeight w:val="346" w:hRule="atLeast"/>
          <w:jc w:val="center"/>
        </w:trPr>
        <w:tc>
          <w:tcPr>
            <w:tcW w:w="513" w:type="pct"/>
            <w:gridSpan w:val="2"/>
            <w:vMerge w:val="continue"/>
            <w:vAlign w:val="center"/>
          </w:tcPr>
          <w:p>
            <w:pPr>
              <w:widowControl/>
              <w:rPr>
                <w:rFonts w:hint="eastAsia" w:cs="仿宋" w:asciiTheme="minorEastAsia" w:hAnsiTheme="minorEastAsia"/>
                <w:color w:val="000000"/>
                <w:kern w:val="0"/>
                <w:sz w:val="18"/>
                <w:szCs w:val="18"/>
              </w:rPr>
            </w:pPr>
          </w:p>
        </w:tc>
        <w:tc>
          <w:tcPr>
            <w:tcW w:w="687" w:type="pc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事件工单管理</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支持安全事件管理：如果判断为有效威胁，专家将该威胁转化为威胁事件，威胁事件将转给更高级的专家处理。</w:t>
            </w:r>
          </w:p>
        </w:tc>
      </w:tr>
      <w:tr>
        <w:trPr>
          <w:trHeight w:val="346" w:hRule="atLeast"/>
          <w:jc w:val="center"/>
        </w:trPr>
        <w:tc>
          <w:tcPr>
            <w:tcW w:w="513" w:type="pct"/>
            <w:gridSpan w:val="2"/>
            <w:vMerge w:val="continue"/>
            <w:vAlign w:val="center"/>
          </w:tcPr>
          <w:p>
            <w:pPr>
              <w:widowControl/>
              <w:rPr>
                <w:rFonts w:hint="eastAsia" w:cs="仿宋" w:asciiTheme="minorEastAsia" w:hAnsiTheme="minorEastAsia"/>
                <w:color w:val="000000"/>
                <w:kern w:val="0"/>
                <w:sz w:val="18"/>
                <w:szCs w:val="18"/>
              </w:rPr>
            </w:pPr>
          </w:p>
        </w:tc>
        <w:tc>
          <w:tcPr>
            <w:tcW w:w="687" w:type="pc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日志检索</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平台应通过大数据平台的搜索引擎，支持快速搜索和搜索语句搜索所有安全日志数据。快速搜索能够通过搜索页面上预先配置好的按钮，实现只需点击不同的搜索条件，即可直接获取到搜索结果。查询语句搜索需要在搜索框内输入查询语句，实现更灵活的自定义搜索，满足高级搜索和复杂搜索场景。</w:t>
            </w:r>
          </w:p>
        </w:tc>
      </w:tr>
      <w:tr>
        <w:trPr>
          <w:trHeight w:val="643" w:hRule="atLeast"/>
          <w:jc w:val="center"/>
        </w:trPr>
        <w:tc>
          <w:tcPr>
            <w:tcW w:w="513" w:type="pct"/>
            <w:gridSpan w:val="2"/>
            <w:vMerge w:val="continue"/>
            <w:vAlign w:val="center"/>
          </w:tcPr>
          <w:p>
            <w:pPr>
              <w:widowControl/>
              <w:rPr>
                <w:rFonts w:hint="eastAsia" w:cs="仿宋" w:asciiTheme="minorEastAsia" w:hAnsiTheme="minorEastAsia"/>
                <w:color w:val="000000"/>
                <w:kern w:val="0"/>
                <w:sz w:val="18"/>
                <w:szCs w:val="18"/>
              </w:rPr>
            </w:pPr>
          </w:p>
        </w:tc>
        <w:tc>
          <w:tcPr>
            <w:tcW w:w="687" w:type="pc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日志接收和处理</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平台支持接收多种安全设备同步的安全日志等数据，目前支持防火墙，终端检测与响应，流量分析设备、态势感知平台等设备。</w:t>
            </w:r>
          </w:p>
        </w:tc>
      </w:tr>
      <w:tr>
        <w:trPr>
          <w:trHeight w:val="346" w:hRule="atLeast"/>
          <w:jc w:val="center"/>
        </w:trPr>
        <w:tc>
          <w:tcPr>
            <w:tcW w:w="513" w:type="pct"/>
            <w:gridSpan w:val="2"/>
            <w:vMerge w:val="continue"/>
            <w:vAlign w:val="center"/>
          </w:tcPr>
          <w:p>
            <w:pPr>
              <w:widowControl/>
              <w:rPr>
                <w:rFonts w:hint="eastAsia" w:cs="仿宋" w:asciiTheme="minorEastAsia" w:hAnsiTheme="minorEastAsia"/>
                <w:color w:val="000000"/>
                <w:kern w:val="0"/>
                <w:sz w:val="18"/>
                <w:szCs w:val="18"/>
              </w:rPr>
            </w:pPr>
          </w:p>
        </w:tc>
        <w:tc>
          <w:tcPr>
            <w:tcW w:w="687" w:type="pct"/>
            <w:vMerge w:val="restar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Use case（安全规则）管理</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支持自定义配置安全规则，包括配置源算子、解析规则算子、关联规则算子、Flinksql算子、union算子、标签算子、kafka算子、搜索引擎目的算子、自定义算子。通过组合不同算子，形成安全规则。</w:t>
            </w:r>
          </w:p>
        </w:tc>
      </w:tr>
      <w:tr>
        <w:trPr>
          <w:trHeight w:val="346" w:hRule="atLeast"/>
          <w:jc w:val="center"/>
        </w:trPr>
        <w:tc>
          <w:tcPr>
            <w:tcW w:w="513" w:type="pct"/>
            <w:gridSpan w:val="2"/>
            <w:vMerge w:val="continue"/>
            <w:vAlign w:val="center"/>
          </w:tcPr>
          <w:p>
            <w:pPr>
              <w:widowControl/>
              <w:rPr>
                <w:rFonts w:hint="eastAsia" w:cs="仿宋" w:asciiTheme="minorEastAsia" w:hAnsiTheme="minorEastAsia"/>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bCs/>
                <w:color w:val="000000"/>
                <w:sz w:val="18"/>
                <w:szCs w:val="18"/>
              </w:rPr>
              <w:t>投标方服务平台已</w:t>
            </w:r>
            <w:r>
              <w:rPr>
                <w:rFonts w:hint="eastAsia" w:cs="仿宋" w:asciiTheme="minorEastAsia" w:hAnsiTheme="minorEastAsia"/>
                <w:color w:val="000000"/>
                <w:kern w:val="0"/>
                <w:sz w:val="18"/>
                <w:szCs w:val="18"/>
              </w:rPr>
              <w:t>支持的安全检测规则应超过1000个，且覆盖内网脆弱性问题，病毒类事件，入侵行为，勒索、挖矿类事件等；</w:t>
            </w:r>
          </w:p>
        </w:tc>
      </w:tr>
      <w:tr>
        <w:trPr>
          <w:trHeight w:val="346" w:hRule="atLeast"/>
          <w:jc w:val="center"/>
        </w:trPr>
        <w:tc>
          <w:tcPr>
            <w:tcW w:w="513" w:type="pct"/>
            <w:gridSpan w:val="2"/>
            <w:vMerge w:val="continue"/>
            <w:vAlign w:val="center"/>
          </w:tcPr>
          <w:p>
            <w:pPr>
              <w:widowControl/>
              <w:rPr>
                <w:rFonts w:hint="eastAsia" w:cs="仿宋" w:asciiTheme="minorEastAsia" w:hAnsiTheme="minorEastAsia"/>
                <w:color w:val="000000"/>
                <w:kern w:val="0"/>
                <w:sz w:val="18"/>
                <w:szCs w:val="18"/>
              </w:rPr>
            </w:pPr>
          </w:p>
        </w:tc>
        <w:tc>
          <w:tcPr>
            <w:tcW w:w="687" w:type="pc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报告中心</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支持根据不同场景，灵活选择不同的组件组合形成新的报告模板，以便于招标方查看不同场景和维度的服务报告。可从时间范围，开始时间，结束时间、漏洞攻击，网络流量，恶意攻击，脆弱性等维度组合新的报告模板。下载报告时，选择相应场景的模板进行下载即可。</w:t>
            </w:r>
          </w:p>
        </w:tc>
      </w:tr>
      <w:tr>
        <w:trPr>
          <w:trHeight w:val="346" w:hRule="atLeast"/>
          <w:jc w:val="center"/>
        </w:trPr>
        <w:tc>
          <w:tcPr>
            <w:tcW w:w="513" w:type="pct"/>
            <w:gridSpan w:val="2"/>
            <w:vMerge w:val="continue"/>
            <w:vAlign w:val="center"/>
          </w:tcPr>
          <w:p>
            <w:pPr>
              <w:widowControl/>
              <w:rPr>
                <w:rFonts w:hint="eastAsia" w:cs="仿宋" w:asciiTheme="minorEastAsia" w:hAnsiTheme="minorEastAsia"/>
                <w:color w:val="000000"/>
                <w:kern w:val="0"/>
                <w:sz w:val="18"/>
                <w:szCs w:val="18"/>
              </w:rPr>
            </w:pPr>
          </w:p>
        </w:tc>
        <w:tc>
          <w:tcPr>
            <w:tcW w:w="687" w:type="pct"/>
            <w:vMerge w:val="restar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平台管理</w:t>
            </w:r>
          </w:p>
        </w:tc>
        <w:tc>
          <w:tcPr>
            <w:tcW w:w="3801" w:type="pct"/>
            <w:vAlign w:val="center"/>
          </w:tcPr>
          <w:p>
            <w:pPr>
              <w:widowControl/>
              <w:adjustRightInd w:val="0"/>
              <w:snapToGrid w:val="0"/>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投标方在本项目使用服务工具应当支持将收集的安全日志上传到安全运营服务平台上，并支持在该平台上对服务工具进行管理；</w:t>
            </w:r>
          </w:p>
        </w:tc>
      </w:tr>
      <w:tr>
        <w:trPr>
          <w:trHeight w:val="346" w:hRule="atLeast"/>
          <w:jc w:val="center"/>
        </w:trPr>
        <w:tc>
          <w:tcPr>
            <w:tcW w:w="513" w:type="pct"/>
            <w:gridSpan w:val="2"/>
            <w:vMerge w:val="continue"/>
            <w:vAlign w:val="center"/>
          </w:tcPr>
          <w:p>
            <w:pPr>
              <w:widowControl/>
              <w:rPr>
                <w:rFonts w:hint="eastAsia" w:cs="仿宋" w:asciiTheme="minorEastAsia" w:hAnsiTheme="minorEastAsia"/>
                <w:color w:val="000000"/>
                <w:kern w:val="0"/>
                <w:sz w:val="18"/>
                <w:szCs w:val="18"/>
              </w:rPr>
            </w:pPr>
          </w:p>
        </w:tc>
        <w:tc>
          <w:tcPr>
            <w:tcW w:w="687" w:type="pct"/>
            <w:vMerge w:val="continue"/>
            <w:vAlign w:val="center"/>
          </w:tcPr>
          <w:p>
            <w:pPr>
              <w:widowControl/>
              <w:jc w:val="center"/>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平台支持使用finebi平台，自定义配置统计数据，包括告警数据，工单数据，工单平均处置时长等数据，来统计当前平台的运营效率，直观体现出当前运营能力，同时可对服务专家处置效率进行考核；</w:t>
            </w:r>
          </w:p>
        </w:tc>
      </w:tr>
      <w:tr>
        <w:trPr>
          <w:trHeight w:val="346" w:hRule="atLeast"/>
          <w:jc w:val="center"/>
        </w:trPr>
        <w:tc>
          <w:tcPr>
            <w:tcW w:w="1199" w:type="pct"/>
            <w:gridSpan w:val="3"/>
            <w:vMerge w:val="restart"/>
            <w:vAlign w:val="center"/>
          </w:tcPr>
          <w:p>
            <w:pPr>
              <w:widowControl/>
              <w:jc w:val="center"/>
              <w:rPr>
                <w:rFonts w:hint="eastAsia" w:cs="仿宋" w:asciiTheme="minorEastAsia" w:hAnsiTheme="minorEastAsia"/>
                <w:b/>
                <w:bCs/>
                <w:color w:val="000000"/>
                <w:kern w:val="0"/>
                <w:sz w:val="18"/>
                <w:szCs w:val="18"/>
              </w:rPr>
            </w:pPr>
            <w:r>
              <w:rPr>
                <w:rFonts w:hint="eastAsia" w:cs="仿宋" w:asciiTheme="minorEastAsia" w:hAnsiTheme="minorEastAsia"/>
                <w:color w:val="000000"/>
                <w:kern w:val="0"/>
                <w:sz w:val="18"/>
                <w:szCs w:val="18"/>
              </w:rPr>
              <w:t>服务质量监督</w:t>
            </w:r>
          </w:p>
        </w:tc>
        <w:tc>
          <w:tcPr>
            <w:tcW w:w="3801" w:type="pct"/>
            <w:vAlign w:val="center"/>
          </w:tcPr>
          <w:p>
            <w:pPr>
              <w:widowControl/>
              <w:adjustRightInd w:val="0"/>
              <w:snapToGrid w:val="0"/>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业务安全状态监控：投标方需为招标方提供服务监控门户（或用户Portal，区别于安全感知大屏），在门户中招标方可查看业务和资产安全状态信息，使得招标方能直观感受到当前的业务和资产安全状态，展示纬度至少包括服务资产安全评级、服务运营状态及成果、安全风险概览、最新情报。</w:t>
            </w:r>
          </w:p>
        </w:tc>
      </w:tr>
      <w:tr>
        <w:trPr>
          <w:trHeight w:val="696" w:hRule="atLeast"/>
          <w:jc w:val="center"/>
        </w:trPr>
        <w:tc>
          <w:tcPr>
            <w:tcW w:w="1199" w:type="pct"/>
            <w:gridSpan w:val="3"/>
            <w:vMerge w:val="continue"/>
            <w:vAlign w:val="center"/>
          </w:tcPr>
          <w:p>
            <w:pPr>
              <w:widowControl/>
              <w:rPr>
                <w:rFonts w:hint="eastAsia" w:cs="仿宋" w:asciiTheme="minorEastAsia" w:hAnsiTheme="minorEastAsia"/>
                <w:b/>
                <w:bCs/>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服务质量监控：投标方提供的服务监控门户（或用户portal）应具备服务质量可视化展示，投标方能通过可视化的数据，清晰的了解安全专家的服务水平，至少包括脆弱性闭环率、脆弱性平均响应时长、脆弱性平均闭环时长、威胁闭环率、威胁平均响应时长、威胁平均闭环时长、事件闭环率、事件平均闭环时长，已验证投标方所承诺的服务SLA。（提供监控门户中服务质量监控相关的截图证明）</w:t>
            </w:r>
          </w:p>
        </w:tc>
      </w:tr>
      <w:tr>
        <w:trPr>
          <w:trHeight w:val="696" w:hRule="atLeast"/>
          <w:jc w:val="center"/>
        </w:trPr>
        <w:tc>
          <w:tcPr>
            <w:tcW w:w="1199" w:type="pct"/>
            <w:gridSpan w:val="3"/>
            <w:vMerge w:val="restar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服务水平协议SLA</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通过SLA对安全事件服务水平作出承诺：</w:t>
            </w:r>
          </w:p>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1）从安全日志产生到事件通告给招标方的时间方面，按照国家标准对安全事件的分类分级指南，重大安全事件通告时间小于30分钟，一般事件的通告时间少于1小时。（2）在未配备投标方的边界防护服务组件和终端防护服务组件的情况下，运营服务对于重大安全事件的遏制影响和处置完成时间小于8小时，对于一般事件的遏制影响和处置完成时间小于24小时。（3）安全事件经过服务人员的确认后，各类安全事件的判断准确率不低于99%。（4）在配备了投标方的边界防护服务组件和终端防护服务组件的情况下，安全事件的闭环处置比例达到100%。（5）对于重大事故应启动应急响应机制，工作时间15分钟之内云端专家进行响应，非工作时间30分钟之内云端专家进行响应，1小时上门处置。</w:t>
            </w:r>
          </w:p>
        </w:tc>
      </w:tr>
      <w:tr>
        <w:trPr>
          <w:trHeight w:val="696" w:hRule="atLeast"/>
          <w:jc w:val="center"/>
        </w:trPr>
        <w:tc>
          <w:tcPr>
            <w:tcW w:w="1199" w:type="pct"/>
            <w:gridSpan w:val="3"/>
            <w:vMerge w:val="continue"/>
            <w:vAlign w:val="center"/>
          </w:tcPr>
          <w:p>
            <w:pPr>
              <w:widowControl/>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通过SLA对安全威胁服务水平作出承诺：</w:t>
            </w:r>
          </w:p>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1）从安全日志产生到威胁通告给招标方的时间方面，重大威胁的通告时间少于1小时，一般威胁的通告时间少于2小时。（2）在未配备投标方的边界防护服务组件和终端防护服务组件的情况下，高级威胁和一般威胁的处置完成时间少于24小时；（3）安全威胁经过服务人员的确认后，高级威胁和一般威胁的判断准确率不低于99%。</w:t>
            </w:r>
          </w:p>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（4）在配备了投标方的边界防护服务组件和终端防护服务组件的情况下，高级威胁和一般威胁的闭环处置比例达到100%。</w:t>
            </w:r>
          </w:p>
        </w:tc>
      </w:tr>
      <w:tr>
        <w:trPr>
          <w:trHeight w:val="696" w:hRule="atLeast"/>
          <w:jc w:val="center"/>
        </w:trPr>
        <w:tc>
          <w:tcPr>
            <w:tcW w:w="1199" w:type="pct"/>
            <w:gridSpan w:val="3"/>
            <w:vMerge w:val="continue"/>
            <w:vAlign w:val="center"/>
          </w:tcPr>
          <w:p>
            <w:pPr>
              <w:widowControl/>
              <w:rPr>
                <w:rFonts w:hint="eastAsia" w:cs="仿宋" w:asciiTheme="minorEastAsia" w:hAnsiTheme="minorEastAsia"/>
                <w:color w:val="000000"/>
                <w:kern w:val="0"/>
                <w:sz w:val="18"/>
                <w:szCs w:val="18"/>
              </w:rPr>
            </w:pP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通过SLA对安全漏洞服务水平作出承诺：</w:t>
            </w:r>
          </w:p>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1）在配备投标方的漏洞定期扫描服务组件的情况下，漏洞扫描的频率不低于每30天扫描一次。（2）高危可利用漏洞从完成漏扫后发现到推送漏洞报告的时间少于2个工作日。（3）高危可利用漏洞经服务人员确认后的准确率不低于99%。（4）高危可利用漏洞的防护率达到99%。（5）工作时间15分钟之内云端专家进行响应，非工作时间30分钟之内云端专家进行响应；</w:t>
            </w:r>
          </w:p>
        </w:tc>
      </w:tr>
      <w:tr>
        <w:trPr>
          <w:trHeight w:val="696" w:hRule="atLeast"/>
          <w:jc w:val="center"/>
        </w:trPr>
        <w:tc>
          <w:tcPr>
            <w:tcW w:w="1199" w:type="pct"/>
            <w:gridSpan w:val="3"/>
            <w:vAlign w:val="center"/>
          </w:tcPr>
          <w:p>
            <w:pPr>
              <w:widowControl/>
              <w:jc w:val="center"/>
              <w:rPr>
                <w:rFonts w:hint="eastAsia" w:cs="仿宋" w:asciiTheme="minorEastAsia" w:hAnsiTheme="minorEastAsia"/>
                <w:b/>
                <w:bCs/>
                <w:color w:val="000000"/>
                <w:kern w:val="0"/>
                <w:sz w:val="18"/>
                <w:szCs w:val="18"/>
              </w:rPr>
            </w:pPr>
            <w:r>
              <w:rPr>
                <w:rFonts w:hint="eastAsia" w:cs="仿宋" w:asciiTheme="minorEastAsia" w:hAnsiTheme="minorEastAsia"/>
                <w:b/>
                <w:bCs/>
                <w:color w:val="000000"/>
                <w:kern w:val="0"/>
                <w:sz w:val="18"/>
                <w:szCs w:val="18"/>
              </w:rPr>
              <w:t>服务交付物</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交付物名称：《安全服务运营报告》，报告频率：每周一次</w:t>
            </w:r>
          </w:p>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交付物名称：《首次威胁分析与处置报告》，报告频率：一次</w:t>
            </w:r>
          </w:p>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交付物名称：《事件分析与处置报告》，报告频率：按需触发，不限次数</w:t>
            </w:r>
          </w:p>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交付物名称：《安全通告》，报告频率：按需触发，不限次数</w:t>
            </w:r>
          </w:p>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交付物名称：《综合分析报告/运营月报》，报告频率：每月一次</w:t>
            </w:r>
          </w:p>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交付物名称：《季度汇报PPT》，报告频率：每季度一次</w:t>
            </w:r>
          </w:p>
          <w:p>
            <w:pPr>
              <w:widowControl/>
              <w:adjustRightInd w:val="0"/>
              <w:snapToGrid w:val="0"/>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交付物名称：《年度汇报PPT》，报告频率：每年一次</w:t>
            </w:r>
          </w:p>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▲中标后招标方有权要求中标方严格按照上述频率要求提供服务交付物，确保满足招标方安全需求。如中标方未能按时提供，招标方有权终止服务合同，中间产生任何费用由中标方自行承担。</w:t>
            </w:r>
          </w:p>
        </w:tc>
      </w:tr>
      <w:tr>
        <w:trPr>
          <w:trHeight w:val="530" w:hRule="atLeast"/>
          <w:jc w:val="center"/>
        </w:trPr>
        <w:tc>
          <w:tcPr>
            <w:tcW w:w="1199" w:type="pct"/>
            <w:gridSpan w:val="3"/>
            <w:vAlign w:val="center"/>
          </w:tcPr>
          <w:p>
            <w:pPr>
              <w:widowControl/>
              <w:jc w:val="center"/>
              <w:rPr>
                <w:rFonts w:hint="eastAsia" w:cs="仿宋" w:asciiTheme="minorEastAsia" w:hAnsiTheme="minorEastAsia"/>
                <w:b/>
                <w:bCs/>
                <w:color w:val="000000"/>
                <w:kern w:val="0"/>
                <w:sz w:val="18"/>
                <w:szCs w:val="18"/>
              </w:rPr>
            </w:pPr>
            <w:r>
              <w:rPr>
                <w:rFonts w:hint="eastAsia" w:cs="仿宋" w:asciiTheme="minorEastAsia" w:hAnsiTheme="minorEastAsia"/>
                <w:b/>
                <w:bCs/>
                <w:color w:val="000000"/>
                <w:kern w:val="0"/>
                <w:sz w:val="18"/>
                <w:szCs w:val="18"/>
              </w:rPr>
              <w:t>服务频率及范围</w:t>
            </w:r>
          </w:p>
        </w:tc>
        <w:tc>
          <w:tcPr>
            <w:tcW w:w="3801" w:type="pct"/>
            <w:vAlign w:val="center"/>
          </w:tcPr>
          <w:p>
            <w:pPr>
              <w:widowControl/>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对医院10个核心业务系统，7*24小时持续专家服务，威胁发现及时响应</w:t>
            </w:r>
          </w:p>
        </w:tc>
      </w:tr>
      <w:tr>
        <w:trPr>
          <w:trHeight w:val="90" w:hRule="atLeast"/>
          <w:jc w:val="center"/>
        </w:trPr>
        <w:tc>
          <w:tcPr>
            <w:tcW w:w="1199" w:type="pct"/>
            <w:gridSpan w:val="3"/>
            <w:vAlign w:val="center"/>
          </w:tcPr>
          <w:p>
            <w:pPr>
              <w:widowControl/>
              <w:rPr>
                <w:rFonts w:hint="eastAsia" w:cs="仿宋" w:asciiTheme="minorEastAsia" w:hAnsiTheme="minorEastAsia"/>
                <w:b/>
                <w:bCs/>
                <w:color w:val="000000"/>
                <w:kern w:val="0"/>
                <w:sz w:val="18"/>
                <w:szCs w:val="18"/>
              </w:rPr>
            </w:pPr>
            <w:r>
              <w:rPr>
                <w:rFonts w:hint="eastAsia" w:cs="仿宋" w:asciiTheme="minorEastAsia" w:hAnsiTheme="minorEastAsia"/>
                <w:color w:val="000000"/>
                <w:kern w:val="0"/>
                <w:sz w:val="18"/>
                <w:szCs w:val="18"/>
              </w:rPr>
              <w:t>服务组件性能要求</w:t>
            </w:r>
          </w:p>
        </w:tc>
        <w:tc>
          <w:tcPr>
            <w:tcW w:w="3801" w:type="pct"/>
            <w:vAlign w:val="center"/>
          </w:tcPr>
          <w:p>
            <w:pPr>
              <w:pStyle w:val="15"/>
              <w:widowControl/>
              <w:numPr>
                <w:ilvl w:val="0"/>
                <w:numId w:val="2"/>
              </w:numPr>
              <w:adjustRightInd w:val="0"/>
              <w:snapToGrid w:val="0"/>
              <w:spacing w:line="360" w:lineRule="auto"/>
              <w:ind w:firstLineChars="0"/>
              <w:rPr>
                <w:rFonts w:hint="eastAsia" w:cs="仿宋" w:asciiTheme="minorEastAsia" w:hAnsiTheme="minorEastAsia" w:eastAsiaTheme="minorEastAsia"/>
                <w:color w:val="000000"/>
                <w:kern w:val="0"/>
                <w:sz w:val="18"/>
                <w:szCs w:val="18"/>
              </w:rPr>
            </w:pPr>
            <w:r>
              <w:rPr>
                <w:rFonts w:hint="eastAsia" w:cs="仿宋" w:asciiTheme="minorEastAsia" w:hAnsiTheme="minorEastAsia" w:eastAsiaTheme="minorEastAsia"/>
                <w:b/>
                <w:color w:val="000000"/>
                <w:kern w:val="0"/>
                <w:sz w:val="18"/>
                <w:szCs w:val="18"/>
              </w:rPr>
              <w:t>性能要求</w:t>
            </w:r>
          </w:p>
        </w:tc>
      </w:tr>
      <w:tr>
        <w:trPr>
          <w:trHeight w:val="263" w:hRule="atLeast"/>
          <w:jc w:val="center"/>
        </w:trPr>
        <w:tc>
          <w:tcPr>
            <w:tcW w:w="438" w:type="pct"/>
            <w:vMerge w:val="restart"/>
            <w:vAlign w:val="center"/>
          </w:tcPr>
          <w:p>
            <w:pPr>
              <w:widowControl/>
              <w:jc w:val="center"/>
              <w:rPr>
                <w:rFonts w:hint="eastAsia" w:cs="仿宋" w:asciiTheme="minorEastAsia" w:hAnsiTheme="minorEastAsia"/>
                <w:color w:val="000000"/>
                <w:kern w:val="0"/>
                <w:sz w:val="18"/>
                <w:szCs w:val="18"/>
              </w:rPr>
            </w:pPr>
            <w:r>
              <w:rPr>
                <w:rFonts w:hint="eastAsia" w:cs="仿宋" w:asciiTheme="minorEastAsia" w:hAnsiTheme="minorEastAsia"/>
                <w:color w:val="000000"/>
                <w:kern w:val="0"/>
                <w:sz w:val="18"/>
                <w:szCs w:val="18"/>
              </w:rPr>
              <w:t>服务组件功能要求</w:t>
            </w:r>
          </w:p>
        </w:tc>
        <w:tc>
          <w:tcPr>
            <w:tcW w:w="762" w:type="pct"/>
            <w:gridSpan w:val="2"/>
            <w:vMerge w:val="restart"/>
            <w:vAlign w:val="center"/>
          </w:tcPr>
          <w:p>
            <w:pPr>
              <w:jc w:val="center"/>
              <w:rPr>
                <w:rFonts w:hint="eastAsia" w:cs="仿宋" w:asciiTheme="minorEastAsia" w:hAnsiTheme="minorEastAsia"/>
                <w:color w:val="000000"/>
                <w:sz w:val="18"/>
                <w:szCs w:val="18"/>
              </w:rPr>
            </w:pPr>
            <w:r>
              <w:rPr>
                <w:rFonts w:hint="eastAsia" w:cs="仿宋" w:asciiTheme="minorEastAsia" w:hAnsiTheme="minorEastAsia"/>
                <w:color w:val="000000"/>
                <w:sz w:val="18"/>
                <w:szCs w:val="18"/>
              </w:rPr>
              <w:t>边界安全防护服务</w:t>
            </w: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▲将用户内网现有防火墙设备接入云端运营平台进行管理，提供网络层防护，入侵防护等功能；中标后签订合同前需提供功能测试</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continue"/>
            <w:vAlign w:val="center"/>
          </w:tcPr>
          <w:p>
            <w:pPr>
              <w:jc w:val="center"/>
              <w:rPr>
                <w:rFonts w:hint="eastAsia" w:cs="仿宋" w:asciiTheme="minorEastAsia" w:hAnsiTheme="minorEastAsia"/>
                <w:color w:val="000000"/>
                <w:sz w:val="18"/>
                <w:szCs w:val="18"/>
              </w:rPr>
            </w:pP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支持针对SMTP、POP3、IMAP邮件协议的内容检测，如邮件附件病毒检测、邮件内容恶意链接检测，邮件异常账号检测等，支持根据邮件附件类型进行文件过滤；支持针对HTTP、FTP协议内容检测与病毒查杀。</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continue"/>
            <w:vAlign w:val="center"/>
          </w:tcPr>
          <w:p>
            <w:pPr>
              <w:jc w:val="center"/>
              <w:rPr>
                <w:rFonts w:hint="eastAsia" w:cs="仿宋" w:asciiTheme="minorEastAsia" w:hAnsiTheme="minorEastAsia"/>
                <w:color w:val="000000"/>
                <w:sz w:val="18"/>
                <w:szCs w:val="18"/>
              </w:rPr>
            </w:pP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★支持抵御SQL注入、XSS攻击、网页木马、网站扫描、WEBSHELL、跨站请求伪造、系统命令注入、文件包含攻击、目录遍历攻击、信息泄露攻击、WEB整站系统漏洞等攻击；(提供相关功能截图证明)</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continue"/>
            <w:vAlign w:val="center"/>
          </w:tcPr>
          <w:p>
            <w:pPr>
              <w:jc w:val="center"/>
              <w:rPr>
                <w:rFonts w:hint="eastAsia" w:cs="仿宋" w:asciiTheme="minorEastAsia" w:hAnsiTheme="minorEastAsia"/>
                <w:color w:val="000000"/>
                <w:sz w:val="18"/>
                <w:szCs w:val="18"/>
              </w:rPr>
            </w:pP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支持针对网站的漏洞扫描进行防护，能够拦截漏洞扫描设备或软件对网站漏洞的扫描探测，支持基于目录访问频率和敏感文件扫描等恶意扫描行为进行防护；</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continue"/>
            <w:vAlign w:val="center"/>
          </w:tcPr>
          <w:p>
            <w:pPr>
              <w:jc w:val="center"/>
              <w:rPr>
                <w:rFonts w:hint="eastAsia" w:cs="仿宋" w:asciiTheme="minorEastAsia" w:hAnsiTheme="minorEastAsia"/>
                <w:color w:val="000000"/>
                <w:sz w:val="18"/>
                <w:szCs w:val="18"/>
              </w:rPr>
            </w:pP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支持Web漏洞扫描功能，可扫描检测网站是否存在SQL注入、XSS、跨站脚本、目录遍历、文件包含、命令执行等脚本漏洞；</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restart"/>
            <w:vAlign w:val="center"/>
          </w:tcPr>
          <w:p>
            <w:pPr>
              <w:jc w:val="center"/>
              <w:rPr>
                <w:rFonts w:hint="eastAsia" w:cs="仿宋" w:asciiTheme="minorEastAsia" w:hAnsiTheme="minorEastAsia"/>
                <w:color w:val="000000"/>
                <w:sz w:val="18"/>
                <w:szCs w:val="18"/>
              </w:rPr>
            </w:pPr>
            <w:r>
              <w:rPr>
                <w:rFonts w:hint="eastAsia" w:cs="仿宋" w:asciiTheme="minorEastAsia" w:hAnsiTheme="minorEastAsia"/>
                <w:color w:val="000000"/>
                <w:sz w:val="18"/>
                <w:szCs w:val="18"/>
              </w:rPr>
              <w:t>安全态势感知服务</w:t>
            </w: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▲将用户内外网现有态势感知设备接入云端运营平台进行管理，提供资产梳理，威胁深度检测，威胁统一分析，多产品日志收集与对接等功能。中标后签订合同前需提供功能测试</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continue"/>
            <w:vAlign w:val="center"/>
          </w:tcPr>
          <w:p>
            <w:pPr>
              <w:jc w:val="center"/>
              <w:rPr>
                <w:rFonts w:hint="eastAsia" w:cs="仿宋" w:asciiTheme="minorEastAsia" w:hAnsiTheme="minorEastAsia"/>
                <w:color w:val="000000"/>
                <w:sz w:val="18"/>
                <w:szCs w:val="18"/>
              </w:rPr>
            </w:pP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支持基于流量实时漏洞功能，漏洞分析类型包含配置错误漏洞、OpenSSH漏洞、目录遍历漏洞、OpenLDAP等操作系统、数据库、Web应用等，页面上支持展示业务脆弱性风险分布、漏洞类型分析、漏洞态势与危害和处置建议，并支持导出脆弱性感知报告。（需提供截图证明）。</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continue"/>
            <w:vAlign w:val="center"/>
          </w:tcPr>
          <w:p>
            <w:pPr>
              <w:jc w:val="center"/>
              <w:rPr>
                <w:rFonts w:hint="eastAsia" w:cs="仿宋" w:asciiTheme="minorEastAsia" w:hAnsiTheme="minorEastAsia"/>
                <w:color w:val="000000"/>
                <w:sz w:val="18"/>
                <w:szCs w:val="18"/>
              </w:rPr>
            </w:pP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支持大屏展示业务脆弱性态势，包括漏洞风险态势、漏洞类型TOP5、高危漏洞TOP5、业务总览、脆弱性业务TOP5、实时脆弱性监测；</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continue"/>
            <w:vAlign w:val="center"/>
          </w:tcPr>
          <w:p>
            <w:pPr>
              <w:jc w:val="center"/>
              <w:rPr>
                <w:rFonts w:hint="eastAsia" w:cs="仿宋" w:asciiTheme="minorEastAsia" w:hAnsiTheme="minorEastAsia"/>
                <w:color w:val="000000"/>
                <w:sz w:val="18"/>
                <w:szCs w:val="18"/>
              </w:rPr>
            </w:pP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平台具备独立文件威胁鉴定模块，支持基于HTTP、邮件、FTB、SMB等协议的文件检测，平台内置病毒检测引擎、人工智能检测引擎等，支持记录恶意文件TOP5、文件名、病毒病毒、发现次数、传播协议、感染源等信息，并支持导出分析结果。</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restart"/>
            <w:vAlign w:val="center"/>
          </w:tcPr>
          <w:p>
            <w:pPr>
              <w:widowControl/>
              <w:jc w:val="center"/>
              <w:rPr>
                <w:rFonts w:hint="eastAsia" w:cs="仿宋" w:asciiTheme="minorEastAsia" w:hAnsiTheme="minorEastAsia"/>
                <w:color w:val="000000"/>
                <w:sz w:val="18"/>
                <w:szCs w:val="18"/>
              </w:rPr>
            </w:pPr>
            <w:r>
              <w:rPr>
                <w:rFonts w:hint="eastAsia" w:cs="仿宋" w:asciiTheme="minorEastAsia" w:hAnsiTheme="minorEastAsia"/>
                <w:color w:val="000000"/>
                <w:sz w:val="18"/>
                <w:szCs w:val="18"/>
              </w:rPr>
              <w:t>流量采集服务</w:t>
            </w: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▲将用户内外网现有流量探针设备接入云端运营平台进行管理，提供流量采集，数据初筛，日志同步与传输等功能。</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continue"/>
            <w:vAlign w:val="center"/>
          </w:tcPr>
          <w:p>
            <w:pPr>
              <w:widowControl/>
              <w:jc w:val="center"/>
              <w:rPr>
                <w:rFonts w:hint="eastAsia" w:cs="仿宋" w:asciiTheme="minorEastAsia" w:hAnsiTheme="minorEastAsia"/>
                <w:color w:val="000000"/>
                <w:sz w:val="18"/>
                <w:szCs w:val="18"/>
              </w:rPr>
            </w:pP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支持5种类型日志传输模式,包含标准模式、精简模式、高级模式、局域网模式、自定义模式，适应不同应用场景需求；</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continue"/>
            <w:vAlign w:val="center"/>
          </w:tcPr>
          <w:p>
            <w:pPr>
              <w:widowControl/>
              <w:jc w:val="center"/>
              <w:rPr>
                <w:rFonts w:hint="eastAsia" w:cs="仿宋" w:asciiTheme="minorEastAsia" w:hAnsiTheme="minorEastAsia"/>
                <w:color w:val="000000"/>
                <w:sz w:val="18"/>
                <w:szCs w:val="18"/>
              </w:rPr>
            </w:pP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可提供网络流量的会话级视图,根据网络流量的正常行为轮廓特征建立正常流量模型,判别流量是否出现异常,对原始流记录进行异常检测,可发现网络蠕虫、网络水平扫描、网络垂直扫描、IP地址扫描，端口扫描，ARP欺骗，IP协议异常报文检测和TCP协议异常报文等常见网络异常流量事件类型;</w:t>
            </w:r>
          </w:p>
        </w:tc>
      </w:tr>
      <w:tr>
        <w:trPr>
          <w:trHeight w:val="696" w:hRule="atLeast"/>
          <w:jc w:val="center"/>
        </w:trPr>
        <w:tc>
          <w:tcPr>
            <w:tcW w:w="438" w:type="pct"/>
            <w:vMerge w:val="continue"/>
            <w:vAlign w:val="center"/>
          </w:tcPr>
          <w:p>
            <w:pPr>
              <w:widowControl/>
              <w:rPr>
                <w:rFonts w:hint="eastAsia" w:cs="仿宋" w:asciiTheme="minorEastAsia" w:hAnsiTheme="minorEastAsia"/>
                <w:color w:val="000000"/>
                <w:kern w:val="0"/>
                <w:sz w:val="18"/>
                <w:szCs w:val="18"/>
              </w:rPr>
            </w:pPr>
          </w:p>
        </w:tc>
        <w:tc>
          <w:tcPr>
            <w:tcW w:w="762" w:type="pct"/>
            <w:gridSpan w:val="2"/>
            <w:vMerge w:val="continue"/>
            <w:vAlign w:val="center"/>
          </w:tcPr>
          <w:p>
            <w:pPr>
              <w:widowControl/>
              <w:jc w:val="center"/>
              <w:rPr>
                <w:rFonts w:hint="eastAsia" w:cs="仿宋" w:asciiTheme="minorEastAsia" w:hAnsiTheme="minorEastAsia"/>
                <w:color w:val="000000"/>
                <w:sz w:val="18"/>
                <w:szCs w:val="18"/>
              </w:rPr>
            </w:pP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支持针对B/S架构应用抵御SQL注入、XSS、系统命令等注入型攻击；支持跨站请求伪造CSRF攻击检测；支持对ASP,PHP,JSP等主流脚本语言编写的webshell后门脚本上传的检测；支持其他类型的Web攻击，如文件包含，目录遍历，信息泄露攻击等的检测；（要求对以上列出的攻击类型进行逐条响应并提供相应的功能界面截图）</w:t>
            </w:r>
          </w:p>
        </w:tc>
      </w:tr>
      <w:tr>
        <w:trPr>
          <w:trHeight w:val="696" w:hRule="atLeast"/>
          <w:jc w:val="center"/>
        </w:trPr>
        <w:tc>
          <w:tcPr>
            <w:tcW w:w="1199" w:type="pct"/>
            <w:gridSpan w:val="3"/>
            <w:vMerge w:val="restart"/>
            <w:vAlign w:val="center"/>
          </w:tcPr>
          <w:p>
            <w:pPr>
              <w:widowControl/>
              <w:spacing w:line="264" w:lineRule="auto"/>
              <w:jc w:val="center"/>
              <w:rPr>
                <w:rFonts w:hint="eastAsia" w:cs="仿宋" w:asciiTheme="minorEastAsia" w:hAnsiTheme="minorEastAsia"/>
                <w:color w:val="000000"/>
                <w:sz w:val="18"/>
                <w:szCs w:val="18"/>
              </w:rPr>
            </w:pPr>
            <w:r>
              <w:rPr>
                <w:rFonts w:hint="eastAsia" w:cs="仿宋" w:asciiTheme="minorEastAsia" w:hAnsiTheme="minorEastAsia"/>
                <w:color w:val="000000"/>
                <w:sz w:val="18"/>
                <w:szCs w:val="18"/>
              </w:rPr>
              <w:t>资质要求</w:t>
            </w:r>
          </w:p>
        </w:tc>
        <w:tc>
          <w:tcPr>
            <w:tcW w:w="3801" w:type="pct"/>
            <w:vAlign w:val="center"/>
          </w:tcPr>
          <w:p>
            <w:pPr>
              <w:widowControl/>
              <w:spacing w:line="264" w:lineRule="auto"/>
              <w:rPr>
                <w:rFonts w:hint="eastAsia" w:cs="仿宋" w:asciiTheme="minorEastAsia" w:hAnsiTheme="minorEastAsia"/>
                <w:color w:val="000000"/>
                <w:sz w:val="18"/>
                <w:szCs w:val="18"/>
              </w:rPr>
            </w:pPr>
            <w:r>
              <w:rPr>
                <w:rFonts w:hint="eastAsia" w:cs="仿宋" w:asciiTheme="minorEastAsia" w:hAnsiTheme="minorEastAsia"/>
                <w:color w:val="000000"/>
                <w:sz w:val="18"/>
                <w:szCs w:val="18"/>
              </w:rPr>
              <w:t>所投厂商具备CCRC信息安全服务资质认证证书—信息系统安全运维服务一级资质，需提供有效证书复印件。</w:t>
            </w:r>
          </w:p>
        </w:tc>
      </w:tr>
      <w:tr>
        <w:trPr>
          <w:trHeight w:val="593" w:hRule="atLeast"/>
          <w:jc w:val="center"/>
        </w:trPr>
        <w:tc>
          <w:tcPr>
            <w:tcW w:w="1199" w:type="pct"/>
            <w:gridSpan w:val="3"/>
            <w:vMerge w:val="continue"/>
            <w:vAlign w:val="center"/>
          </w:tcPr>
          <w:p>
            <w:pPr>
              <w:widowControl/>
              <w:rPr>
                <w:rFonts w:hint="eastAsia" w:cs="仿宋" w:asciiTheme="minorEastAsia" w:hAnsiTheme="minorEastAsia"/>
                <w:color w:val="000000"/>
                <w:sz w:val="18"/>
                <w:szCs w:val="18"/>
              </w:rPr>
            </w:pPr>
          </w:p>
        </w:tc>
        <w:tc>
          <w:tcPr>
            <w:tcW w:w="3801" w:type="pct"/>
            <w:vAlign w:val="center"/>
          </w:tcPr>
          <w:p>
            <w:pPr>
              <w:widowControl/>
              <w:spacing w:line="264" w:lineRule="auto"/>
              <w:rPr>
                <w:rFonts w:hint="eastAsia" w:cs="仿宋" w:asciiTheme="minorEastAsia" w:hAnsiTheme="minorEastAsia"/>
                <w:color w:val="000000"/>
                <w:sz w:val="18"/>
                <w:szCs w:val="18"/>
              </w:rPr>
            </w:pPr>
            <w:r>
              <w:rPr>
                <w:rFonts w:hint="eastAsia" w:cs="仿宋" w:asciiTheme="minorEastAsia" w:hAnsiTheme="minorEastAsia"/>
                <w:color w:val="000000"/>
                <w:sz w:val="18"/>
                <w:szCs w:val="18"/>
              </w:rPr>
              <w:t>所投厂商具备国家信息安全服务（安全运营类一级）资质，需提供有效证书复印件。</w:t>
            </w:r>
          </w:p>
        </w:tc>
      </w:tr>
      <w:tr>
        <w:trPr>
          <w:trHeight w:val="696" w:hRule="atLeast"/>
          <w:jc w:val="center"/>
        </w:trPr>
        <w:tc>
          <w:tcPr>
            <w:tcW w:w="1199" w:type="pct"/>
            <w:gridSpan w:val="3"/>
            <w:vMerge w:val="continue"/>
            <w:vAlign w:val="center"/>
          </w:tcPr>
          <w:p>
            <w:pPr>
              <w:widowControl/>
              <w:rPr>
                <w:rFonts w:hint="eastAsia" w:cs="仿宋" w:asciiTheme="minorEastAsia" w:hAnsiTheme="minorEastAsia"/>
                <w:color w:val="000000"/>
                <w:sz w:val="18"/>
                <w:szCs w:val="18"/>
              </w:rPr>
            </w:pPr>
          </w:p>
        </w:tc>
        <w:tc>
          <w:tcPr>
            <w:tcW w:w="3801" w:type="pct"/>
            <w:vAlign w:val="center"/>
          </w:tcPr>
          <w:p>
            <w:pPr>
              <w:pStyle w:val="16"/>
              <w:rPr>
                <w:rFonts w:hint="eastAsia" w:cs="仿宋" w:asciiTheme="minorEastAsia" w:hAnsiTheme="minorEastAsia" w:eastAsiaTheme="minorEastAsia"/>
                <w:color w:val="000000"/>
                <w:sz w:val="18"/>
                <w:szCs w:val="18"/>
              </w:rPr>
            </w:pPr>
            <w:r>
              <w:rPr>
                <w:rFonts w:hint="eastAsia" w:cs="仿宋" w:asciiTheme="minorEastAsia" w:hAnsiTheme="minorEastAsia" w:eastAsiaTheme="minorEastAsia"/>
                <w:color w:val="000000"/>
                <w:sz w:val="18"/>
                <w:szCs w:val="18"/>
              </w:rPr>
              <w:t>所投厂商应是国家互联网应急响应中心网络安全应急服务国家级支撑单位，需提供有效证书复印件。</w:t>
            </w:r>
          </w:p>
        </w:tc>
      </w:tr>
    </w:tbl>
    <w:p>
      <w:pPr>
        <w:widowControl/>
        <w:jc w:val="left"/>
        <w:rPr>
          <w:rFonts w:hint="eastAsia" w:asciiTheme="minorEastAsia" w:hAnsiTheme="minorEastAsia" w:cstheme="minorEastAsia"/>
          <w:kern w:val="0"/>
          <w:szCs w:val="21"/>
        </w:rPr>
      </w:pPr>
    </w:p>
    <w:p>
      <w:pPr>
        <w:pStyle w:val="4"/>
        <w:rPr>
          <w:sz w:val="28"/>
          <w:szCs w:val="28"/>
        </w:rPr>
      </w:pPr>
      <w:r>
        <w:rPr>
          <w:rFonts w:hint="eastAsia"/>
          <w:sz w:val="28"/>
          <w:szCs w:val="28"/>
        </w:rPr>
        <w:t>2.1.</w:t>
      </w:r>
      <w:r>
        <w:rPr>
          <w:rFonts w:hint="eastAsia"/>
          <w:sz w:val="28"/>
          <w:szCs w:val="28"/>
          <w:lang w:val="en-US" w:eastAsia="zh-CN"/>
        </w:rPr>
        <w:t>3</w:t>
      </w:r>
      <w:r>
        <w:rPr>
          <w:rFonts w:hint="eastAsia"/>
          <w:sz w:val="28"/>
          <w:szCs w:val="28"/>
        </w:rPr>
        <w:t xml:space="preserve"> </w:t>
      </w:r>
      <w:r>
        <w:rPr>
          <w:rFonts w:hint="eastAsia"/>
          <w:sz w:val="28"/>
          <w:szCs w:val="28"/>
          <w:lang w:val="en-US" w:eastAsia="zh-CN"/>
        </w:rPr>
        <w:t>舆情监测</w:t>
      </w:r>
      <w:r>
        <w:rPr>
          <w:rFonts w:hint="eastAsia"/>
          <w:sz w:val="28"/>
          <w:szCs w:val="28"/>
        </w:rPr>
        <w:t>服务</w:t>
      </w:r>
    </w:p>
    <w:tbl>
      <w:tblPr>
        <w:tblStyle w:val="9"/>
        <w:tblW w:w="9329" w:type="dxa"/>
        <w:tblInd w:w="-39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Layout w:type="autofit"/>
        <w:tblCellMar>
          <w:top w:w="0" w:type="dxa"/>
          <w:left w:w="108" w:type="dxa"/>
          <w:bottom w:w="0" w:type="dxa"/>
          <w:right w:w="108" w:type="dxa"/>
        </w:tblCellMar>
      </w:tblPr>
      <w:tblGrid>
        <w:gridCol w:w="991"/>
        <w:gridCol w:w="1093"/>
        <w:gridCol w:w="5500"/>
        <w:gridCol w:w="1745"/>
      </w:tblGrid>
      <w:tr>
        <w:trPr>
          <w:trHeight w:val="429" w:hRule="atLeast"/>
        </w:trPr>
        <w:tc>
          <w:tcPr>
            <w:tcW w:w="991" w:type="dxa"/>
            <w:shd w:val="clear" w:color="auto" w:fill="FFFFFF" w:themeFill="background1"/>
            <w:vAlign w:val="center"/>
          </w:tcPr>
          <w:p>
            <w:pPr>
              <w:jc w:val="center"/>
              <w:rPr>
                <w:b/>
                <w:bCs/>
                <w:sz w:val="18"/>
                <w:szCs w:val="21"/>
              </w:rPr>
            </w:pPr>
            <w:r>
              <w:rPr>
                <w:rFonts w:hint="eastAsia"/>
                <w:b/>
                <w:bCs/>
                <w:sz w:val="18"/>
                <w:szCs w:val="21"/>
              </w:rPr>
              <w:t>序号</w:t>
            </w:r>
          </w:p>
        </w:tc>
        <w:tc>
          <w:tcPr>
            <w:tcW w:w="1093" w:type="dxa"/>
            <w:shd w:val="clear" w:color="auto" w:fill="FFFFFF" w:themeFill="background1"/>
            <w:vAlign w:val="center"/>
          </w:tcPr>
          <w:p>
            <w:pPr>
              <w:jc w:val="center"/>
              <w:rPr>
                <w:b/>
                <w:bCs/>
                <w:sz w:val="18"/>
                <w:szCs w:val="21"/>
              </w:rPr>
            </w:pPr>
            <w:r>
              <w:rPr>
                <w:rFonts w:hint="eastAsia"/>
                <w:b/>
                <w:bCs/>
                <w:sz w:val="18"/>
                <w:szCs w:val="21"/>
              </w:rPr>
              <w:t>服务名称</w:t>
            </w:r>
          </w:p>
        </w:tc>
        <w:tc>
          <w:tcPr>
            <w:tcW w:w="5500" w:type="dxa"/>
            <w:shd w:val="clear" w:color="auto" w:fill="FFFFFF" w:themeFill="background1"/>
            <w:vAlign w:val="center"/>
          </w:tcPr>
          <w:p>
            <w:pPr>
              <w:jc w:val="center"/>
              <w:rPr>
                <w:b/>
                <w:bCs/>
                <w:sz w:val="18"/>
                <w:szCs w:val="21"/>
              </w:rPr>
            </w:pPr>
            <w:r>
              <w:rPr>
                <w:rFonts w:hint="eastAsia"/>
                <w:b/>
                <w:bCs/>
                <w:sz w:val="18"/>
                <w:szCs w:val="21"/>
              </w:rPr>
              <w:t>服务描述</w:t>
            </w:r>
          </w:p>
        </w:tc>
        <w:tc>
          <w:tcPr>
            <w:tcW w:w="1745" w:type="dxa"/>
            <w:shd w:val="clear" w:color="auto" w:fill="FFFFFF" w:themeFill="background1"/>
            <w:vAlign w:val="center"/>
          </w:tcPr>
          <w:p>
            <w:pPr>
              <w:jc w:val="center"/>
              <w:rPr>
                <w:b/>
                <w:bCs/>
                <w:sz w:val="18"/>
                <w:szCs w:val="21"/>
              </w:rPr>
            </w:pPr>
            <w:r>
              <w:rPr>
                <w:rFonts w:hint="eastAsia"/>
                <w:b/>
                <w:bCs/>
                <w:sz w:val="18"/>
                <w:szCs w:val="21"/>
              </w:rPr>
              <w:t>数量/单位</w:t>
            </w:r>
          </w:p>
        </w:tc>
      </w:tr>
      <w:tr>
        <w:trPr>
          <w:trHeight w:val="429" w:hRule="atLeast"/>
        </w:trPr>
        <w:tc>
          <w:tcPr>
            <w:tcW w:w="991" w:type="dxa"/>
            <w:shd w:val="clear" w:color="auto" w:fill="FFFFFF" w:themeFill="background1"/>
            <w:vAlign w:val="center"/>
          </w:tcPr>
          <w:p>
            <w:pPr>
              <w:jc w:val="center"/>
              <w:rPr>
                <w:rFonts w:hint="default" w:eastAsiaTheme="minorEastAsia"/>
                <w:b/>
                <w:bCs/>
                <w:sz w:val="18"/>
                <w:szCs w:val="21"/>
                <w:lang w:val="en-US" w:eastAsia="zh-CN"/>
              </w:rPr>
            </w:pPr>
            <w:r>
              <w:rPr>
                <w:rFonts w:hint="eastAsia"/>
                <w:b/>
                <w:bCs/>
                <w:sz w:val="18"/>
                <w:szCs w:val="21"/>
                <w:lang w:val="en-US" w:eastAsia="zh-CN"/>
              </w:rPr>
              <w:t>1</w:t>
            </w:r>
          </w:p>
        </w:tc>
        <w:tc>
          <w:tcPr>
            <w:tcW w:w="1093" w:type="dxa"/>
            <w:shd w:val="clear" w:color="auto" w:fill="FFFFFF" w:themeFill="background1"/>
            <w:vAlign w:val="center"/>
          </w:tcPr>
          <w:p>
            <w:pPr>
              <w:jc w:val="center"/>
              <w:rPr>
                <w:rFonts w:hint="eastAsia" w:asciiTheme="minorHAnsi" w:hAnsiTheme="minorHAnsi" w:eastAsiaTheme="minorEastAsia" w:cstheme="minorBidi"/>
                <w:b/>
                <w:bCs/>
                <w:kern w:val="2"/>
                <w:sz w:val="18"/>
                <w:szCs w:val="21"/>
                <w:lang w:val="en-US" w:eastAsia="zh-CN" w:bidi="ar-SA"/>
              </w:rPr>
            </w:pPr>
            <w:r>
              <w:rPr>
                <w:rFonts w:hint="eastAsia"/>
                <w:b/>
                <w:bCs/>
                <w:sz w:val="18"/>
                <w:szCs w:val="21"/>
                <w:lang w:val="en-US" w:eastAsia="zh-CN"/>
              </w:rPr>
              <w:t>舆情监测服务</w:t>
            </w:r>
          </w:p>
        </w:tc>
        <w:tc>
          <w:tcPr>
            <w:tcW w:w="5500" w:type="dxa"/>
            <w:shd w:val="clear" w:color="auto" w:fill="FFFFFF" w:themeFill="background1"/>
            <w:vAlign w:val="center"/>
          </w:tcPr>
          <w:p>
            <w:pPr>
              <w:numPr>
                <w:ilvl w:val="0"/>
                <w:numId w:val="0"/>
              </w:numPr>
              <w:rPr>
                <w:rFonts w:hint="eastAsia"/>
                <w:sz w:val="18"/>
                <w:szCs w:val="21"/>
                <w:lang w:val="en-US" w:eastAsia="zh-CN"/>
              </w:rPr>
            </w:pPr>
            <w:r>
              <w:rPr>
                <w:rFonts w:hint="eastAsia"/>
                <w:sz w:val="18"/>
                <w:szCs w:val="21"/>
                <w:lang w:val="en-US" w:eastAsia="zh-CN"/>
              </w:rPr>
              <w:t>1、实时监测新闻门户、论坛、博客、微博、贴吧、微信公众号、抖音、小红书、BILIBILI、APP新闻客户端等互联网信息资源内的湖州市第三人民医院热点新闻、突发事件等舆情信息，并将敏感舆情通过微信、电话等方式为院方提供预警。</w:t>
            </w:r>
          </w:p>
          <w:p>
            <w:pPr>
              <w:numPr>
                <w:ilvl w:val="0"/>
                <w:numId w:val="0"/>
              </w:numPr>
              <w:rPr>
                <w:rFonts w:hint="eastAsia" w:asciiTheme="minorHAnsi" w:hAnsiTheme="minorHAnsi" w:eastAsiaTheme="minorEastAsia" w:cstheme="minorBidi"/>
                <w:kern w:val="2"/>
                <w:sz w:val="18"/>
                <w:szCs w:val="21"/>
                <w:lang w:val="en-US" w:eastAsia="zh-CN" w:bidi="ar-SA"/>
              </w:rPr>
            </w:pPr>
            <w:r>
              <w:rPr>
                <w:rFonts w:hint="eastAsia"/>
                <w:sz w:val="18"/>
                <w:szCs w:val="21"/>
                <w:lang w:val="en-US" w:eastAsia="zh-CN"/>
              </w:rPr>
              <w:t>2、按我院需求，及时完成并推送重要敏感舆情的事件报告。</w:t>
            </w:r>
          </w:p>
        </w:tc>
        <w:tc>
          <w:tcPr>
            <w:tcW w:w="1745" w:type="dxa"/>
            <w:shd w:val="clear" w:color="auto" w:fill="FFFFFF" w:themeFill="background1"/>
            <w:vAlign w:val="center"/>
          </w:tcPr>
          <w:p>
            <w:pPr>
              <w:jc w:val="center"/>
              <w:rPr>
                <w:rFonts w:hint="eastAsia" w:asciiTheme="minorHAnsi" w:hAnsiTheme="minorHAnsi" w:eastAsiaTheme="minorEastAsia" w:cstheme="minorBidi"/>
                <w:kern w:val="2"/>
                <w:sz w:val="18"/>
                <w:szCs w:val="21"/>
                <w:lang w:val="en-US" w:eastAsia="zh-CN" w:bidi="ar-SA"/>
              </w:rPr>
            </w:pPr>
            <w:r>
              <w:rPr>
                <w:rFonts w:hint="eastAsia"/>
                <w:sz w:val="18"/>
                <w:szCs w:val="21"/>
              </w:rPr>
              <w:t>1年</w:t>
            </w:r>
          </w:p>
        </w:tc>
      </w:tr>
    </w:tbl>
    <w:p>
      <w:pPr>
        <w:widowControl/>
        <w:jc w:val="left"/>
        <w:rPr>
          <w:rFonts w:hint="eastAsia" w:asciiTheme="minorEastAsia" w:hAnsiTheme="minorEastAsia" w:cstheme="minorEastAsia"/>
          <w:kern w:val="0"/>
          <w:szCs w:val="21"/>
        </w:rPr>
      </w:pPr>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7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Calibri Light">
    <w:altName w:val="Helvetica Neue"/>
    <w:panose1 w:val="020F0302020204030204"/>
    <w:charset w:val="00"/>
    <w:family w:val="swiss"/>
    <w:pitch w:val="default"/>
    <w:sig w:usb0="00000000" w:usb1="00000000" w:usb2="00000009" w:usb3="00000000" w:csb0="200001FF" w:csb1="00000000"/>
  </w:font>
  <w:font w:name="Tahoma">
    <w:panose1 w:val="020B0804030504040204"/>
    <w:charset w:val="00"/>
    <w:family w:val="swiss"/>
    <w:pitch w:val="default"/>
    <w:sig w:usb0="E1002AFF" w:usb1="C000605B" w:usb2="00000029" w:usb3="00000000" w:csb0="200101FF" w:csb1="20280000"/>
  </w:font>
  <w:font w:name="微软雅黑">
    <w:altName w:val="汉仪旗黑"/>
    <w:panose1 w:val="020B0503020204020204"/>
    <w:charset w:val="86"/>
    <w:family w:val="swiss"/>
    <w:pitch w:val="default"/>
    <w:sig w:usb0="00000000" w:usb1="00000000" w:usb2="00000016" w:usb3="00000000" w:csb0="0004001F" w:csb1="00000000"/>
  </w:font>
  <w:font w:name="仿宋">
    <w:altName w:val="方正仿宋_GBK"/>
    <w:panose1 w:val="02010609060101010101"/>
    <w:charset w:val="86"/>
    <w:family w:val="modern"/>
    <w:pitch w:val="default"/>
    <w:sig w:usb0="00000000" w:usb1="00000000" w:usb2="00000016" w:usb3="00000000" w:csb0="00040001"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冬青黑体简体中文">
    <w:panose1 w:val="020B0300000000000000"/>
    <w:charset w:val="86"/>
    <w:family w:val="auto"/>
    <w:pitch w:val="default"/>
    <w:sig w:usb0="A00002BF" w:usb1="1ACF7CFA" w:usb2="00000016" w:usb3="00000000" w:csb0="00060007" w:csb1="00000000"/>
  </w:font>
  <w:font w:name="方正仿宋_GBK">
    <w:panose1 w:val="02000000000000000000"/>
    <w:charset w:val="86"/>
    <w:family w:val="auto"/>
    <w:pitch w:val="default"/>
    <w:sig w:usb0="A00002BF" w:usb1="38CF7CFA" w:usb2="00082016" w:usb3="00000000" w:csb0="00040001"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汉仪旗黑">
    <w:panose1 w:val="00020600040101010101"/>
    <w:charset w:val="86"/>
    <w:family w:val="auto"/>
    <w:pitch w:val="default"/>
    <w:sig w:usb0="A00002BF" w:usb1="1ACF7CFA" w:usb2="00000016" w:usb3="00000000" w:csb0="0004009F" w:csb1="DFD70000"/>
  </w:font>
  <w:font w:name="PingFang SC">
    <w:panose1 w:val="020B0400000000000000"/>
    <w:charset w:val="86"/>
    <w:family w:val="auto"/>
    <w:pitch w:val="default"/>
    <w:sig w:usb0="A00002FF" w:usb1="7ACFFDFB" w:usb2="00000017"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Content>
      <w:sdt>
        <w:sdtPr>
          <w:id w:val="1728636285"/>
          <w:docPartObj>
            <w:docPartGallery w:val="autotext"/>
          </w:docPartObj>
        </w:sdtPr>
        <w:sdtContent>
          <w:p>
            <w:pPr>
              <w:pStyle w:val="6"/>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p>
        </w:sdtContent>
      </w:sdt>
    </w:sdtContent>
  </w:sdt>
  <w:p>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F5788B1"/>
    <w:multiLevelType w:val="singleLevel"/>
    <w:tmpl w:val="3F5788B1"/>
    <w:lvl w:ilvl="0" w:tentative="0">
      <w:start w:val="1"/>
      <w:numFmt w:val="chineseCounting"/>
      <w:suff w:val="nothing"/>
      <w:lvlText w:val="%1、"/>
      <w:lvlJc w:val="left"/>
      <w:rPr>
        <w:rFonts w:hint="eastAsia"/>
      </w:rPr>
    </w:lvl>
  </w:abstractNum>
  <w:abstractNum w:abstractNumId="1">
    <w:nsid w:val="7AB54134"/>
    <w:multiLevelType w:val="multilevel"/>
    <w:tmpl w:val="7AB54134"/>
    <w:lvl w:ilvl="0" w:tentative="0">
      <w:start w:val="1"/>
      <w:numFmt w:val="japaneseCounting"/>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124091"/>
    <w:rsid w:val="0000322C"/>
    <w:rsid w:val="00022509"/>
    <w:rsid w:val="000345E4"/>
    <w:rsid w:val="000363F2"/>
    <w:rsid w:val="00044D71"/>
    <w:rsid w:val="00046D65"/>
    <w:rsid w:val="00057706"/>
    <w:rsid w:val="00070EA9"/>
    <w:rsid w:val="00071EE7"/>
    <w:rsid w:val="000858A1"/>
    <w:rsid w:val="000B70F7"/>
    <w:rsid w:val="000D5758"/>
    <w:rsid w:val="000E2CB7"/>
    <w:rsid w:val="000E5703"/>
    <w:rsid w:val="000F1AED"/>
    <w:rsid w:val="00114C75"/>
    <w:rsid w:val="001174B5"/>
    <w:rsid w:val="001175CC"/>
    <w:rsid w:val="001235A8"/>
    <w:rsid w:val="00126E53"/>
    <w:rsid w:val="001271E8"/>
    <w:rsid w:val="00127AE5"/>
    <w:rsid w:val="00143429"/>
    <w:rsid w:val="0018545B"/>
    <w:rsid w:val="001A3126"/>
    <w:rsid w:val="001B0B12"/>
    <w:rsid w:val="001B23A0"/>
    <w:rsid w:val="001C30A7"/>
    <w:rsid w:val="001C444F"/>
    <w:rsid w:val="001F36BB"/>
    <w:rsid w:val="00200FDF"/>
    <w:rsid w:val="002108B0"/>
    <w:rsid w:val="0021187D"/>
    <w:rsid w:val="002248E2"/>
    <w:rsid w:val="00235E78"/>
    <w:rsid w:val="00242EAE"/>
    <w:rsid w:val="00244BC3"/>
    <w:rsid w:val="002471EF"/>
    <w:rsid w:val="00256947"/>
    <w:rsid w:val="002571D5"/>
    <w:rsid w:val="002650B7"/>
    <w:rsid w:val="00266F29"/>
    <w:rsid w:val="00276E04"/>
    <w:rsid w:val="0027775F"/>
    <w:rsid w:val="002862C3"/>
    <w:rsid w:val="002C2883"/>
    <w:rsid w:val="002D2BF3"/>
    <w:rsid w:val="002F18A7"/>
    <w:rsid w:val="002F4F46"/>
    <w:rsid w:val="0030757D"/>
    <w:rsid w:val="00322C05"/>
    <w:rsid w:val="00322C0F"/>
    <w:rsid w:val="0033266E"/>
    <w:rsid w:val="003374E6"/>
    <w:rsid w:val="00356FDE"/>
    <w:rsid w:val="0035779E"/>
    <w:rsid w:val="00360018"/>
    <w:rsid w:val="0037631F"/>
    <w:rsid w:val="003A0DC5"/>
    <w:rsid w:val="003B7C5C"/>
    <w:rsid w:val="003C43B7"/>
    <w:rsid w:val="004276F9"/>
    <w:rsid w:val="00444506"/>
    <w:rsid w:val="00472818"/>
    <w:rsid w:val="004859DF"/>
    <w:rsid w:val="00487DFF"/>
    <w:rsid w:val="004B131B"/>
    <w:rsid w:val="004B4440"/>
    <w:rsid w:val="004C124C"/>
    <w:rsid w:val="004C5EAC"/>
    <w:rsid w:val="004D4549"/>
    <w:rsid w:val="004D60A2"/>
    <w:rsid w:val="004D7788"/>
    <w:rsid w:val="004E52CA"/>
    <w:rsid w:val="004F7F8B"/>
    <w:rsid w:val="005055E9"/>
    <w:rsid w:val="005144EB"/>
    <w:rsid w:val="00515600"/>
    <w:rsid w:val="00520D34"/>
    <w:rsid w:val="005269AC"/>
    <w:rsid w:val="005349FD"/>
    <w:rsid w:val="0054230D"/>
    <w:rsid w:val="00543824"/>
    <w:rsid w:val="005458FC"/>
    <w:rsid w:val="00556D7A"/>
    <w:rsid w:val="005B4A21"/>
    <w:rsid w:val="005B6FC5"/>
    <w:rsid w:val="005C095D"/>
    <w:rsid w:val="005C258F"/>
    <w:rsid w:val="005E19B8"/>
    <w:rsid w:val="005F42B7"/>
    <w:rsid w:val="005F6DEC"/>
    <w:rsid w:val="00604E7A"/>
    <w:rsid w:val="00613794"/>
    <w:rsid w:val="00613CA6"/>
    <w:rsid w:val="006203C7"/>
    <w:rsid w:val="0062719F"/>
    <w:rsid w:val="00650A12"/>
    <w:rsid w:val="00656E09"/>
    <w:rsid w:val="00695EB1"/>
    <w:rsid w:val="006970EF"/>
    <w:rsid w:val="006A1AAE"/>
    <w:rsid w:val="006A374B"/>
    <w:rsid w:val="006A61D6"/>
    <w:rsid w:val="006B1D4D"/>
    <w:rsid w:val="006D05F7"/>
    <w:rsid w:val="006D6C1A"/>
    <w:rsid w:val="006E57FE"/>
    <w:rsid w:val="006F05BA"/>
    <w:rsid w:val="006F4598"/>
    <w:rsid w:val="00724AA0"/>
    <w:rsid w:val="00735619"/>
    <w:rsid w:val="007465BC"/>
    <w:rsid w:val="007547F0"/>
    <w:rsid w:val="007753A6"/>
    <w:rsid w:val="00782645"/>
    <w:rsid w:val="00796F52"/>
    <w:rsid w:val="007A5C0F"/>
    <w:rsid w:val="007B08AB"/>
    <w:rsid w:val="008077BE"/>
    <w:rsid w:val="00816F6D"/>
    <w:rsid w:val="008214A5"/>
    <w:rsid w:val="00827809"/>
    <w:rsid w:val="00831006"/>
    <w:rsid w:val="008572D2"/>
    <w:rsid w:val="00861CF4"/>
    <w:rsid w:val="00862EB9"/>
    <w:rsid w:val="008662C9"/>
    <w:rsid w:val="00866D97"/>
    <w:rsid w:val="008937B6"/>
    <w:rsid w:val="008972F6"/>
    <w:rsid w:val="008B0CF5"/>
    <w:rsid w:val="008D507E"/>
    <w:rsid w:val="008D59AB"/>
    <w:rsid w:val="008E6835"/>
    <w:rsid w:val="008F04BC"/>
    <w:rsid w:val="008F0A92"/>
    <w:rsid w:val="0090268A"/>
    <w:rsid w:val="00902E1A"/>
    <w:rsid w:val="009041B2"/>
    <w:rsid w:val="00905452"/>
    <w:rsid w:val="00941FD3"/>
    <w:rsid w:val="00970263"/>
    <w:rsid w:val="0097088B"/>
    <w:rsid w:val="00971B5E"/>
    <w:rsid w:val="0097496D"/>
    <w:rsid w:val="00991D50"/>
    <w:rsid w:val="00996CED"/>
    <w:rsid w:val="009A0978"/>
    <w:rsid w:val="009A4B4C"/>
    <w:rsid w:val="009B2504"/>
    <w:rsid w:val="009B265E"/>
    <w:rsid w:val="009E3FD8"/>
    <w:rsid w:val="00A02C3F"/>
    <w:rsid w:val="00A4096E"/>
    <w:rsid w:val="00A41BB3"/>
    <w:rsid w:val="00A44EB0"/>
    <w:rsid w:val="00A562DF"/>
    <w:rsid w:val="00A629B6"/>
    <w:rsid w:val="00A82136"/>
    <w:rsid w:val="00A822D3"/>
    <w:rsid w:val="00A94649"/>
    <w:rsid w:val="00AA04F6"/>
    <w:rsid w:val="00AA0759"/>
    <w:rsid w:val="00AA15F5"/>
    <w:rsid w:val="00AB6D79"/>
    <w:rsid w:val="00AD335D"/>
    <w:rsid w:val="00AF7CB3"/>
    <w:rsid w:val="00B00381"/>
    <w:rsid w:val="00B27F39"/>
    <w:rsid w:val="00B34CF2"/>
    <w:rsid w:val="00B4117E"/>
    <w:rsid w:val="00B55AA2"/>
    <w:rsid w:val="00B635F9"/>
    <w:rsid w:val="00B676F4"/>
    <w:rsid w:val="00B7501F"/>
    <w:rsid w:val="00B9412C"/>
    <w:rsid w:val="00B94773"/>
    <w:rsid w:val="00BB2099"/>
    <w:rsid w:val="00BB3F0D"/>
    <w:rsid w:val="00BB5FEF"/>
    <w:rsid w:val="00BB756F"/>
    <w:rsid w:val="00BE4C1D"/>
    <w:rsid w:val="00BF1C62"/>
    <w:rsid w:val="00C157DF"/>
    <w:rsid w:val="00C2176E"/>
    <w:rsid w:val="00C309D7"/>
    <w:rsid w:val="00C47D1F"/>
    <w:rsid w:val="00C47E46"/>
    <w:rsid w:val="00C533D3"/>
    <w:rsid w:val="00C72A66"/>
    <w:rsid w:val="00C82F81"/>
    <w:rsid w:val="00C92E00"/>
    <w:rsid w:val="00C93A6B"/>
    <w:rsid w:val="00C97727"/>
    <w:rsid w:val="00CA49A6"/>
    <w:rsid w:val="00CB079F"/>
    <w:rsid w:val="00CC6D9F"/>
    <w:rsid w:val="00CE3E76"/>
    <w:rsid w:val="00CE5CB2"/>
    <w:rsid w:val="00CF730B"/>
    <w:rsid w:val="00D22008"/>
    <w:rsid w:val="00D4134A"/>
    <w:rsid w:val="00D50569"/>
    <w:rsid w:val="00D6055E"/>
    <w:rsid w:val="00D75991"/>
    <w:rsid w:val="00D877FD"/>
    <w:rsid w:val="00D92E78"/>
    <w:rsid w:val="00D94B6A"/>
    <w:rsid w:val="00D94E1B"/>
    <w:rsid w:val="00D955B5"/>
    <w:rsid w:val="00D96A5B"/>
    <w:rsid w:val="00DA47AF"/>
    <w:rsid w:val="00DC7EF4"/>
    <w:rsid w:val="00DD0797"/>
    <w:rsid w:val="00DE2600"/>
    <w:rsid w:val="00E00EC6"/>
    <w:rsid w:val="00E02015"/>
    <w:rsid w:val="00E17F07"/>
    <w:rsid w:val="00E20A52"/>
    <w:rsid w:val="00E2179D"/>
    <w:rsid w:val="00E27377"/>
    <w:rsid w:val="00E313A5"/>
    <w:rsid w:val="00E34F17"/>
    <w:rsid w:val="00E55AD4"/>
    <w:rsid w:val="00E56514"/>
    <w:rsid w:val="00E74518"/>
    <w:rsid w:val="00E74AE9"/>
    <w:rsid w:val="00E9114D"/>
    <w:rsid w:val="00E942AA"/>
    <w:rsid w:val="00EB0372"/>
    <w:rsid w:val="00EC6445"/>
    <w:rsid w:val="00ED0776"/>
    <w:rsid w:val="00EE2751"/>
    <w:rsid w:val="00EF001F"/>
    <w:rsid w:val="00EF2EA1"/>
    <w:rsid w:val="00F1516E"/>
    <w:rsid w:val="00F218FE"/>
    <w:rsid w:val="00F2267A"/>
    <w:rsid w:val="00F23BA7"/>
    <w:rsid w:val="00F31D0C"/>
    <w:rsid w:val="00F47840"/>
    <w:rsid w:val="00F53A0C"/>
    <w:rsid w:val="00F61068"/>
    <w:rsid w:val="00F71E01"/>
    <w:rsid w:val="00F84E4B"/>
    <w:rsid w:val="00F86300"/>
    <w:rsid w:val="00F87D47"/>
    <w:rsid w:val="00FA4A7C"/>
    <w:rsid w:val="00FC3156"/>
    <w:rsid w:val="00FD738F"/>
    <w:rsid w:val="00FE3DF5"/>
    <w:rsid w:val="00FE49FA"/>
    <w:rsid w:val="00FF7E1A"/>
    <w:rsid w:val="0D103314"/>
    <w:rsid w:val="1042698A"/>
    <w:rsid w:val="182C722D"/>
    <w:rsid w:val="1A140E32"/>
    <w:rsid w:val="215F7228"/>
    <w:rsid w:val="31124091"/>
    <w:rsid w:val="38D3124E"/>
    <w:rsid w:val="3FA45323"/>
    <w:rsid w:val="573B69CF"/>
    <w:rsid w:val="5A73009D"/>
    <w:rsid w:val="62545FF5"/>
    <w:rsid w:val="64D80F00"/>
    <w:rsid w:val="67F80DB9"/>
    <w:rsid w:val="7DAF9723"/>
    <w:rsid w:val="7FAD09D4"/>
    <w:rsid w:val="9EE77B6E"/>
    <w:rsid w:val="BFB8B850"/>
    <w:rsid w:val="DECEBF51"/>
    <w:rsid w:val="DFDD432F"/>
    <w:rsid w:val="F77F9F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line="576" w:lineRule="auto"/>
      <w:outlineLvl w:val="0"/>
    </w:pPr>
    <w:rPr>
      <w:b/>
      <w:kern w:val="44"/>
      <w:sz w:val="44"/>
    </w:rPr>
  </w:style>
  <w:style w:type="paragraph" w:styleId="3">
    <w:name w:val="heading 2"/>
    <w:basedOn w:val="1"/>
    <w:next w:val="1"/>
    <w:unhideWhenUsed/>
    <w:qFormat/>
    <w:uiPriority w:val="0"/>
    <w:pPr>
      <w:keepNext/>
      <w:keepLines/>
      <w:spacing w:line="413" w:lineRule="auto"/>
      <w:outlineLvl w:val="1"/>
    </w:pPr>
    <w:rPr>
      <w:rFonts w:ascii="Arial" w:hAnsi="Arial" w:eastAsia="黑体"/>
      <w:b/>
      <w:sz w:val="32"/>
    </w:rPr>
  </w:style>
  <w:style w:type="paragraph" w:styleId="4">
    <w:name w:val="heading 3"/>
    <w:basedOn w:val="1"/>
    <w:next w:val="1"/>
    <w:link w:val="17"/>
    <w:unhideWhenUsed/>
    <w:qFormat/>
    <w:uiPriority w:val="0"/>
    <w:pPr>
      <w:keepNext/>
      <w:keepLines/>
      <w:spacing w:before="260" w:after="260" w:line="416" w:lineRule="auto"/>
      <w:outlineLvl w:val="2"/>
    </w:pPr>
    <w:rPr>
      <w:b/>
      <w:bCs/>
      <w:sz w:val="32"/>
      <w:szCs w:val="32"/>
    </w:rPr>
  </w:style>
  <w:style w:type="paragraph" w:styleId="5">
    <w:name w:val="heading 4"/>
    <w:basedOn w:val="1"/>
    <w:next w:val="1"/>
    <w:link w:val="18"/>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4"/>
    <w:qFormat/>
    <w:uiPriority w:val="99"/>
    <w:pPr>
      <w:tabs>
        <w:tab w:val="center" w:pos="4153"/>
        <w:tab w:val="right" w:pos="8306"/>
      </w:tabs>
      <w:snapToGrid w:val="0"/>
      <w:jc w:val="left"/>
    </w:pPr>
    <w:rPr>
      <w:sz w:val="18"/>
      <w:szCs w:val="18"/>
    </w:rPr>
  </w:style>
  <w:style w:type="paragraph" w:styleId="7">
    <w:name w:val="header"/>
    <w:basedOn w:val="1"/>
    <w:link w:val="13"/>
    <w:qFormat/>
    <w:uiPriority w:val="0"/>
    <w:pPr>
      <w:tabs>
        <w:tab w:val="center" w:pos="4153"/>
        <w:tab w:val="right" w:pos="8306"/>
      </w:tabs>
      <w:snapToGrid w:val="0"/>
      <w:jc w:val="center"/>
    </w:pPr>
    <w:rPr>
      <w:sz w:val="18"/>
      <w:szCs w:val="18"/>
    </w:r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basedOn w:val="10"/>
    <w:qFormat/>
    <w:uiPriority w:val="0"/>
    <w:rPr>
      <w:rFonts w:ascii="Times New Roman" w:hAnsi="Times New Roman" w:eastAsia="宋体" w:cs="Times New Roman"/>
      <w:color w:val="333333"/>
      <w:u w:val="none"/>
    </w:rPr>
  </w:style>
  <w:style w:type="paragraph" w:customStyle="1" w:styleId="12">
    <w:name w:val="正文2"/>
    <w:basedOn w:val="1"/>
    <w:qFormat/>
    <w:uiPriority w:val="0"/>
    <w:pPr>
      <w:spacing w:before="156" w:line="360" w:lineRule="auto"/>
      <w:ind w:firstLine="510" w:firstLineChars="200"/>
    </w:pPr>
    <w:rPr>
      <w:rFonts w:ascii="Times New Roman" w:hAnsi="Times New Roman" w:eastAsia="宋体" w:cs="Times New Roman"/>
      <w:sz w:val="24"/>
      <w:szCs w:val="20"/>
      <w:lang w:val="zh-CN"/>
    </w:rPr>
  </w:style>
  <w:style w:type="character" w:customStyle="1" w:styleId="13">
    <w:name w:val="页眉 字符"/>
    <w:basedOn w:val="10"/>
    <w:link w:val="7"/>
    <w:qFormat/>
    <w:uiPriority w:val="0"/>
    <w:rPr>
      <w:kern w:val="2"/>
      <w:sz w:val="18"/>
      <w:szCs w:val="18"/>
    </w:rPr>
  </w:style>
  <w:style w:type="character" w:customStyle="1" w:styleId="14">
    <w:name w:val="页脚 字符"/>
    <w:basedOn w:val="10"/>
    <w:link w:val="6"/>
    <w:qFormat/>
    <w:uiPriority w:val="99"/>
    <w:rPr>
      <w:kern w:val="2"/>
      <w:sz w:val="18"/>
      <w:szCs w:val="18"/>
    </w:rPr>
  </w:style>
  <w:style w:type="paragraph" w:styleId="15">
    <w:name w:val="List Paragraph"/>
    <w:basedOn w:val="1"/>
    <w:qFormat/>
    <w:uiPriority w:val="0"/>
    <w:pPr>
      <w:ind w:firstLine="420" w:firstLineChars="200"/>
    </w:pPr>
    <w:rPr>
      <w:rFonts w:ascii="Times New Roman" w:hAnsi="Times New Roman" w:eastAsia="宋体" w:cs="Times New Roman"/>
    </w:rPr>
  </w:style>
  <w:style w:type="paragraph" w:customStyle="1" w:styleId="16">
    <w:name w:val="_Style 2"/>
    <w:qFormat/>
    <w:uiPriority w:val="0"/>
    <w:pPr>
      <w:adjustRightInd w:val="0"/>
      <w:snapToGrid w:val="0"/>
    </w:pPr>
    <w:rPr>
      <w:rFonts w:ascii="Tahoma" w:hAnsi="Tahoma" w:eastAsia="微软雅黑" w:cs="Tahoma"/>
      <w:sz w:val="22"/>
      <w:szCs w:val="22"/>
      <w:lang w:val="en-US" w:eastAsia="zh-CN" w:bidi="ar-SA"/>
    </w:rPr>
  </w:style>
  <w:style w:type="character" w:customStyle="1" w:styleId="17">
    <w:name w:val="标题 3 字符"/>
    <w:basedOn w:val="10"/>
    <w:link w:val="4"/>
    <w:qFormat/>
    <w:uiPriority w:val="0"/>
    <w:rPr>
      <w:b/>
      <w:bCs/>
      <w:kern w:val="2"/>
      <w:sz w:val="32"/>
      <w:szCs w:val="32"/>
    </w:rPr>
  </w:style>
  <w:style w:type="character" w:customStyle="1" w:styleId="18">
    <w:name w:val="标题 4 字符"/>
    <w:basedOn w:val="10"/>
    <w:link w:val="5"/>
    <w:semiHidden/>
    <w:qFormat/>
    <w:uiPriority w:val="0"/>
    <w:rPr>
      <w:rFonts w:asciiTheme="majorHAnsi" w:hAnsiTheme="majorHAnsi" w:eastAsiaTheme="majorEastAsia" w:cstheme="majorBidi"/>
      <w:b/>
      <w:bCs/>
      <w:kern w:val="2"/>
      <w:sz w:val="28"/>
      <w:szCs w:val="28"/>
    </w:rPr>
  </w:style>
  <w:style w:type="character" w:customStyle="1" w:styleId="19">
    <w:name w:val="font51"/>
    <w:basedOn w:val="10"/>
    <w:qFormat/>
    <w:uiPriority w:val="0"/>
    <w:rPr>
      <w:rFonts w:hint="default" w:ascii="Times New Roman" w:hAnsi="Times New Roman" w:eastAsia="宋体" w:cs="Times New Roman"/>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1636</Words>
  <Characters>9326</Characters>
  <Lines>77</Lines>
  <Paragraphs>21</Paragraphs>
  <TotalTime>1</TotalTime>
  <ScaleCrop>false</ScaleCrop>
  <LinksUpToDate>false</LinksUpToDate>
  <CharactersWithSpaces>10941</CharactersWithSpaces>
  <Application>WPS Office_6.6.1.8808_F1E327BC-269C-435d-A152-05C5408002CA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2024-03-17T01:57:00Z</dcterms:created>
  <dc:creator>睿睿麻麻</dc:creator>
  <cp:lastModifiedBy>Park ❤️</cp:lastModifiedBy>
  <dcterms:modified xsi:type="dcterms:W3CDTF">2026-03-20T09:07:54Z</dcterms:modified>
  <cp:revision>243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2052-6.6.1.8808</vt:lpwstr>
  </property>
  <property fmtid="{D5CDD505-2E9C-101B-9397-08002B2CF9AE}" pid="3" name="ICV">
    <vt:lpwstr>4EFB0B2DB08CBE3CEA9DBC69EBF9C768_43</vt:lpwstr>
  </property>
</Properties>
</file>