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B570E" w14:textId="77777777" w:rsidR="00CF02BF" w:rsidRDefault="00000000">
      <w:pPr>
        <w:pStyle w:val="ad"/>
        <w:spacing w:line="288" w:lineRule="auto"/>
        <w:rPr>
          <w:rFonts w:ascii="宋体" w:eastAsia="宋体" w:hAnsi="宋体" w:cs="宋体"/>
          <w:b/>
          <w:iCs w:val="0"/>
          <w:spacing w:val="0"/>
          <w:sz w:val="40"/>
          <w:szCs w:val="40"/>
        </w:rPr>
      </w:pPr>
      <w:r>
        <w:rPr>
          <w:rFonts w:ascii="宋体" w:eastAsia="宋体" w:hAnsi="宋体" w:cs="宋体" w:hint="eastAsia"/>
          <w:b/>
          <w:iCs w:val="0"/>
          <w:spacing w:val="0"/>
          <w:sz w:val="40"/>
          <w:szCs w:val="40"/>
        </w:rPr>
        <w:t>运营分析管理平台需求</w:t>
      </w:r>
    </w:p>
    <w:p w14:paraId="26843260" w14:textId="77777777" w:rsidR="00CF02BF" w:rsidRDefault="00CF02BF">
      <w:pPr>
        <w:rPr>
          <w:rFonts w:ascii="宋体" w:hAnsi="宋体" w:cs="宋体"/>
          <w:sz w:val="24"/>
          <w:szCs w:val="24"/>
        </w:rPr>
      </w:pPr>
    </w:p>
    <w:p w14:paraId="6868A834" w14:textId="77777777" w:rsidR="00CF02BF" w:rsidRDefault="00000000">
      <w:pPr>
        <w:pStyle w:val="Heading3"/>
        <w:numPr>
          <w:ilvl w:val="0"/>
          <w:numId w:val="3"/>
        </w:numPr>
        <w:snapToGrid w:val="0"/>
        <w:spacing w:before="156" w:after="156" w:line="360" w:lineRule="auto"/>
        <w:rPr>
          <w:rStyle w:val="NormalCharacter"/>
          <w:rFonts w:ascii="宋体" w:hAnsi="宋体" w:cs="宋体"/>
          <w:color w:val="000000"/>
          <w:sz w:val="24"/>
          <w:szCs w:val="24"/>
        </w:rPr>
      </w:pPr>
      <w:r>
        <w:rPr>
          <w:rStyle w:val="NormalCharacter"/>
          <w:rFonts w:ascii="宋体" w:hAnsi="宋体" w:cs="宋体" w:hint="eastAsia"/>
          <w:color w:val="000000"/>
          <w:sz w:val="24"/>
          <w:szCs w:val="24"/>
        </w:rPr>
        <w:t>技术参数如下</w:t>
      </w:r>
    </w:p>
    <w:tbl>
      <w:tblPr>
        <w:tblW w:w="5478" w:type="pct"/>
        <w:tblInd w:w="-313" w:type="dxa"/>
        <w:tblLayout w:type="fixed"/>
        <w:tblLook w:val="04A0" w:firstRow="1" w:lastRow="0" w:firstColumn="1" w:lastColumn="0" w:noHBand="0" w:noVBand="1"/>
      </w:tblPr>
      <w:tblGrid>
        <w:gridCol w:w="719"/>
        <w:gridCol w:w="1402"/>
        <w:gridCol w:w="7216"/>
      </w:tblGrid>
      <w:tr w:rsidR="00CF02BF" w14:paraId="5A029EDA" w14:textId="77777777">
        <w:trPr>
          <w:trHeight w:val="420"/>
        </w:trPr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235B5A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74562C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功能模块</w:t>
            </w:r>
          </w:p>
        </w:tc>
        <w:tc>
          <w:tcPr>
            <w:tcW w:w="38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1AC4F3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参数要求</w:t>
            </w:r>
          </w:p>
        </w:tc>
      </w:tr>
      <w:tr w:rsidR="00CF02BF" w14:paraId="0F21FB9A" w14:textId="77777777">
        <w:trPr>
          <w:trHeight w:val="600"/>
        </w:trPr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9505B6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08DBE7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运营数据中心</w:t>
            </w:r>
          </w:p>
        </w:tc>
        <w:tc>
          <w:tcPr>
            <w:tcW w:w="38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293699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支持院内核心业务系统的数据接入，含 HIS、EMR、LIS、PACS、HRP、医保结算、耗材管理、科研教学等系统，实现院内数据的统一汇集。</w:t>
            </w:r>
          </w:p>
          <w:p w14:paraId="24203013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支持采用基于云原生的技术架构，支持微服务、容器化分布式部署，实现系统服务的集群管理、动态扩缩容、负载均衡、故障转移等功能。以保证技术先进性、开放性、稳定性以及定制化能力。</w:t>
            </w:r>
          </w:p>
          <w:p w14:paraId="31E26885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数据中心架构支持多种数据采集同步工具和策略，实现各类异构</w:t>
            </w:r>
            <w:r>
              <w:rPr>
                <w:rFonts w:hAnsi="宋体" w:cs="宋体"/>
                <w:sz w:val="24"/>
                <w:szCs w:val="24"/>
              </w:rPr>
              <w:t>数据库</w:t>
            </w:r>
            <w:r>
              <w:rPr>
                <w:rFonts w:hAnsi="宋体" w:cs="宋体" w:hint="eastAsia"/>
                <w:sz w:val="24"/>
                <w:szCs w:val="24"/>
              </w:rPr>
              <w:t>的数据同步，需</w:t>
            </w:r>
            <w:r>
              <w:rPr>
                <w:rFonts w:hAnsi="宋体" w:cs="宋体"/>
                <w:sz w:val="24"/>
                <w:szCs w:val="24"/>
              </w:rPr>
              <w:t>提供可视化数据流设计界面</w:t>
            </w:r>
            <w:r>
              <w:rPr>
                <w:rFonts w:hAnsi="宋体" w:cs="宋体" w:hint="eastAsia"/>
                <w:sz w:val="24"/>
                <w:szCs w:val="24"/>
              </w:rPr>
              <w:t>，实现多维数据集交互式查询，支持数据高并发。</w:t>
            </w:r>
          </w:p>
          <w:p w14:paraId="55D08657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支持实时同步（延迟≤5 分钟）、定时同步（可自定义周期）、手动触发同步三种数据同步模式，满足不同场景下的数据集成需求。</w:t>
            </w:r>
          </w:p>
          <w:p w14:paraId="3BBEA826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数据采集同步支持多种类型的数据格式，支持各种类型数据源和目标数据库，以及组件化的转换、清洗等各类数据处理功能。</w:t>
            </w:r>
          </w:p>
          <w:p w14:paraId="1C458CE7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支持可视化的分布式调度管理功能，具备统一的调度中心对调度任务进行统一管理。支持多任务并发处理，支持配置各种情况下的调度任务，并提供调度日志管理功能。</w:t>
            </w:r>
          </w:p>
          <w:p w14:paraId="333B3E41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支持主数据统一管理，</w:t>
            </w:r>
            <w:r>
              <w:rPr>
                <w:rFonts w:hAnsi="宋体" w:cs="宋体" w:hint="eastAsia"/>
                <w:color w:val="000000"/>
                <w:sz w:val="24"/>
                <w:szCs w:val="24"/>
              </w:rPr>
              <w:t>支持提供对人员、科室、药品、诊断、手术操作、收费项目等主数据的管理维护。</w:t>
            </w:r>
          </w:p>
          <w:p w14:paraId="02D01045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支持通过各类数据处理组件实现数据的标准化集成，包括不限于数据</w:t>
            </w:r>
            <w:r>
              <w:rPr>
                <w:rFonts w:hAnsi="宋体" w:cs="宋体" w:hint="eastAsia"/>
                <w:color w:val="000000"/>
                <w:sz w:val="24"/>
                <w:szCs w:val="24"/>
              </w:rPr>
              <w:t>适配、数据路由、数据转化、数据映射、加解密等。</w:t>
            </w:r>
          </w:p>
          <w:p w14:paraId="030CD394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支持数据模型管理，包括数仓模型、原子模型、派生模型。</w:t>
            </w:r>
            <w:r>
              <w:rPr>
                <w:rFonts w:hAnsi="宋体" w:cs="宋体" w:hint="eastAsia"/>
                <w:sz w:val="24"/>
                <w:szCs w:val="24"/>
              </w:rPr>
              <w:lastRenderedPageBreak/>
              <w:t>支持模型分类管理、模型导入、模型同步、模型结构管理等。</w:t>
            </w:r>
          </w:p>
          <w:p w14:paraId="1E1D8433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支持数据的血缘关系管理。实现模型及指标的全链路血缘可视化，支持从指标结果追溯至原始数据源。</w:t>
            </w:r>
          </w:p>
          <w:p w14:paraId="6D65622D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支持多维指标数据任务管理。包括多维模型的构建、任务编排、任务调度以及日志管理等功能。</w:t>
            </w:r>
          </w:p>
          <w:p w14:paraId="65743FBF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支持根据医院管理需求，自定义运营分析主题，支持同步引用指标模版目录，灵活适配不同管理场景的应用指标。</w:t>
            </w:r>
          </w:p>
          <w:p w14:paraId="37BE75B4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支持指标库管理。包括不限于国际标准指标库以及医院自定义指标库，</w:t>
            </w:r>
            <w:r>
              <w:rPr>
                <w:rFonts w:hAnsi="宋体" w:cs="宋体" w:hint="eastAsia"/>
                <w:sz w:val="24"/>
                <w:szCs w:val="24"/>
              </w:rPr>
              <w:t>构建医院标准化、可复用的运营指标体系。</w:t>
            </w:r>
          </w:p>
          <w:p w14:paraId="20B642C6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支持指标的定义和维护管理。包括业务属性和技术属性的管理。如指标定义、指标导向、指标说明、计算公式、统计口径等信息。</w:t>
            </w:r>
          </w:p>
          <w:p w14:paraId="0B2C6B3E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支持指标数据应用展示，通过表格和卡片形式展示指标的概览情况，展示指标按时间段的采集值、最终值、同比、环比情况等。</w:t>
            </w:r>
          </w:p>
          <w:p w14:paraId="421ADDAC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支持自定义指标设计，快速实现指标的可视化展示，灵活选择展示图表类型（对比图、柱状图、折线图、饼图、组合图等），并支持时间粒度的选择（年、月、周、日）。</w:t>
            </w:r>
          </w:p>
          <w:p w14:paraId="3EAC4B22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支持运营指标的中心大屏展示，包括医院-运营-科室三级可视化页面，并灵活支持饼图、折线图、柱状图等多样化图表展示方式。</w:t>
            </w:r>
          </w:p>
          <w:p w14:paraId="1BB6F983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支持指标可视化展示页面报告的导出，页面数据可导出为图片、PDF、Excel、PPT等格式。</w:t>
            </w:r>
          </w:p>
          <w:p w14:paraId="0D9102B8" w14:textId="77777777" w:rsidR="00CF02BF" w:rsidRDefault="00000000">
            <w:pPr>
              <w:pStyle w:val="a"/>
              <w:numPr>
                <w:ilvl w:val="0"/>
                <w:numId w:val="4"/>
              </w:numPr>
              <w:spacing w:line="36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支持指标阈值设置，异常数据实时告警（短信 /钉钉/ 系统通知），提供多维度异常原因分析。</w:t>
            </w:r>
          </w:p>
        </w:tc>
      </w:tr>
      <w:tr w:rsidR="00CF02BF" w14:paraId="17827CDD" w14:textId="77777777">
        <w:trPr>
          <w:trHeight w:val="600"/>
        </w:trPr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36D1B9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2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186440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科室分析平台</w:t>
            </w:r>
          </w:p>
        </w:tc>
        <w:tc>
          <w:tcPr>
            <w:tcW w:w="38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FB400E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 xml:space="preserve">支持接入科室相关核心系统，包含不限于HIS（科室门诊 / 住院收费、患者流转）、EMR（科室病历 / 医嘱）、LIS/PACS（科室检验 / 检查数据）、HRP（科室成本 / 耗材 </w:t>
            </w:r>
            <w:r>
              <w:rPr>
                <w:rFonts w:hAnsi="宋体" w:cs="宋体" w:hint="eastAsia"/>
                <w:sz w:val="24"/>
                <w:szCs w:val="24"/>
              </w:rPr>
              <w:lastRenderedPageBreak/>
              <w:t>/ 资产）、设备管理系统（科室设备使用记录）、考勤系统（科室人员排班）。</w:t>
            </w:r>
          </w:p>
          <w:p w14:paraId="6BD51F71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支持运营数据中心统一下发科室运营指标管理，</w:t>
            </w:r>
            <w:r>
              <w:rPr>
                <w:rFonts w:hint="eastAsia"/>
                <w:sz w:val="24"/>
                <w:szCs w:val="16"/>
              </w:rPr>
              <w:t>并精细化配置数据查看权限。</w:t>
            </w:r>
          </w:p>
          <w:p w14:paraId="6A242164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支持按临床、行政管理等不同科室类型分类管理对应的指标，并支持从国家标准指标库同步指标及自定义指标。</w:t>
            </w:r>
          </w:p>
          <w:p w14:paraId="0721F663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支持部分指标的实时监控管理；实现科室级实时同步（如手术状态、床位占用）、定时同步（每日科室成本数据）。</w:t>
            </w:r>
          </w:p>
          <w:p w14:paraId="3CF5ED83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按科室设置数据指标预警。</w:t>
            </w:r>
            <w:r>
              <w:rPr>
                <w:rFonts w:hint="eastAsia"/>
                <w:sz w:val="24"/>
                <w:szCs w:val="16"/>
              </w:rPr>
              <w:t>自定义关键数据指标阈值，实现指标异常自动监测与预警提醒。</w:t>
            </w:r>
          </w:p>
          <w:p w14:paraId="41A5813F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支持按角色定义科室平台主页看板。科主任视角（核心指标趋势、异常预警、成本明细）、护士长视角（床位管理、护理质量）、医生 / 技师视角（个人工作量、绩效关联指标）。</w:t>
            </w:r>
          </w:p>
          <w:p w14:paraId="055C32BE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支持科室收支结余表、耗材 / 药品占比分析表，支持与医保支付标准对比。</w:t>
            </w:r>
          </w:p>
          <w:p w14:paraId="3D13693B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支持与DRG相关系统数据集成，实现DRG病组成本分析（病组盈亏、CMI 值变化趋势）。</w:t>
            </w:r>
          </w:p>
          <w:p w14:paraId="41CAAE03" w14:textId="77777777" w:rsidR="00CF02BF" w:rsidRDefault="00000000">
            <w:pPr>
              <w:pStyle w:val="a"/>
              <w:numPr>
                <w:ilvl w:val="0"/>
                <w:numId w:val="5"/>
              </w:numPr>
              <w:spacing w:line="360" w:lineRule="auto"/>
              <w:rPr>
                <w:rFonts w:hAnsi="宋体" w:cs="宋体"/>
                <w:sz w:val="24"/>
                <w:szCs w:val="24"/>
              </w:rPr>
            </w:pPr>
            <w:r>
              <w:rPr>
                <w:rFonts w:hAnsi="宋体" w:cs="宋体" w:hint="eastAsia"/>
                <w:sz w:val="24"/>
                <w:szCs w:val="24"/>
              </w:rPr>
              <w:t>支持医院运营效率以及流程优化相关数据分析。</w:t>
            </w:r>
          </w:p>
        </w:tc>
      </w:tr>
      <w:tr w:rsidR="00CF02BF" w14:paraId="40F6301A" w14:textId="77777777">
        <w:trPr>
          <w:trHeight w:val="600"/>
        </w:trPr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446EEB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3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60257C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运营指标分析</w:t>
            </w:r>
          </w:p>
        </w:tc>
        <w:tc>
          <w:tcPr>
            <w:tcW w:w="38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F8C17F" w14:textId="77777777" w:rsidR="00CF02BF" w:rsidRDefault="00000000">
            <w:pPr>
              <w:pStyle w:val="2"/>
              <w:spacing w:line="360" w:lineRule="auto"/>
              <w:ind w:firstLineChars="0"/>
              <w:rPr>
                <w:rFonts w:eastAsia="宋体" w:cs="宋体"/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</w:rPr>
              <w:t>基于运营数据中心平台，实现医院运营管理核心指标的分析展示，包括不限于医疗质量、运营效率、成本、资源等各管理维度。支持指标配置管理、统计分析、监控预警、图表展示与报表输出，为医院精细化运营管理提供数据支撑。重点优先实现的指标包括：</w:t>
            </w:r>
          </w:p>
          <w:p w14:paraId="4823ED98" w14:textId="77777777" w:rsidR="00CF02BF" w:rsidRDefault="00000000">
            <w:pPr>
              <w:pStyle w:val="2"/>
              <w:spacing w:line="360" w:lineRule="auto"/>
              <w:ind w:firstLine="480"/>
              <w:rPr>
                <w:rFonts w:eastAsia="宋体" w:cs="宋体"/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</w:rPr>
              <w:t>1、关于国家公立医院绩效考核（国考）和公立医院改革（公改）部分核心指标的管理、分析和应用。</w:t>
            </w:r>
          </w:p>
          <w:p w14:paraId="255EAC7F" w14:textId="77777777" w:rsidR="00CF02BF" w:rsidRDefault="00000000">
            <w:pPr>
              <w:pStyle w:val="2"/>
              <w:spacing w:line="360" w:lineRule="auto"/>
              <w:ind w:firstLine="480"/>
              <w:rPr>
                <w:rFonts w:eastAsia="宋体" w:cs="宋体"/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</w:rPr>
              <w:t>2、医疗收入与预算执行分析：收入结构分析（门诊收入、住院收入、药品收入、耗材收入、治疗收入、检查检验收入等结构占比、趋势、同比环比分析），收入支出预算完成情况分析等。</w:t>
            </w:r>
          </w:p>
          <w:p w14:paraId="3C0C5A88" w14:textId="77777777" w:rsidR="00CF02BF" w:rsidRDefault="00000000">
            <w:pPr>
              <w:pStyle w:val="2"/>
              <w:spacing w:line="360" w:lineRule="auto"/>
              <w:ind w:firstLine="480"/>
              <w:rPr>
                <w:sz w:val="22"/>
                <w:szCs w:val="15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</w:rPr>
              <w:t>3、处方监管分析：包括长处方情况、大额处方统计、筛查、</w:t>
            </w:r>
            <w:r>
              <w:rPr>
                <w:rFonts w:eastAsia="宋体" w:cs="宋体" w:hint="eastAsia"/>
                <w:kern w:val="2"/>
                <w:sz w:val="24"/>
                <w:szCs w:val="24"/>
              </w:rPr>
              <w:lastRenderedPageBreak/>
              <w:t>预警分析。</w:t>
            </w:r>
          </w:p>
          <w:p w14:paraId="40F9D771" w14:textId="77777777" w:rsidR="00CF02BF" w:rsidRPr="009E1470" w:rsidRDefault="00000000">
            <w:pPr>
              <w:pStyle w:val="2"/>
              <w:spacing w:line="360" w:lineRule="auto"/>
              <w:ind w:firstLine="480"/>
              <w:rPr>
                <w:rFonts w:eastAsia="宋体" w:cs="宋体"/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</w:rPr>
              <w:t>4、医疗业务与病源结构分析：门诊运营（门诊总量、初诊/复诊情况、复诊率等），病源分析（患者来源、病种分布等），住院运营（住院均次费用、次均药费、次均耗材费、床位使用率、入院天数等），病种分析（各病种收治情况、费用构成等）；</w:t>
            </w:r>
            <w:r w:rsidRPr="009E1470">
              <w:rPr>
                <w:rFonts w:eastAsia="宋体" w:cs="宋体" w:hint="eastAsia"/>
                <w:kern w:val="2"/>
                <w:sz w:val="24"/>
                <w:szCs w:val="24"/>
              </w:rPr>
              <w:t>各项指标均可按需求下钻，如到系列、科室、医疗组或个人等。</w:t>
            </w:r>
          </w:p>
          <w:p w14:paraId="4BCAE131" w14:textId="77777777" w:rsidR="00CF02BF" w:rsidRPr="009E1470" w:rsidRDefault="00000000">
            <w:pPr>
              <w:pStyle w:val="2"/>
              <w:spacing w:line="360" w:lineRule="auto"/>
              <w:ind w:firstLine="480"/>
              <w:rPr>
                <w:rFonts w:eastAsia="宋体" w:cs="宋体"/>
                <w:kern w:val="2"/>
                <w:sz w:val="24"/>
                <w:szCs w:val="24"/>
              </w:rPr>
            </w:pPr>
            <w:r w:rsidRPr="009E1470">
              <w:rPr>
                <w:rFonts w:eastAsia="宋体" w:cs="宋体" w:hint="eastAsia"/>
                <w:kern w:val="2"/>
                <w:sz w:val="24"/>
                <w:szCs w:val="24"/>
              </w:rPr>
              <w:t>5、医保与 DRG 运营分析：医保结算、医保DRG拨付比、DRG病组成本分析、科室收支结余表、耗材/药品占比分析表等。</w:t>
            </w:r>
          </w:p>
          <w:p w14:paraId="412DF828" w14:textId="77777777" w:rsidR="00CF02BF" w:rsidRPr="009E1470" w:rsidRDefault="00000000">
            <w:pPr>
              <w:pStyle w:val="2"/>
              <w:spacing w:line="360" w:lineRule="auto"/>
              <w:ind w:firstLine="480"/>
              <w:rPr>
                <w:rFonts w:eastAsia="宋体" w:cs="宋体"/>
                <w:kern w:val="2"/>
                <w:sz w:val="24"/>
                <w:szCs w:val="24"/>
              </w:rPr>
            </w:pPr>
            <w:r w:rsidRPr="009E1470">
              <w:rPr>
                <w:rFonts w:eastAsia="宋体" w:cs="宋体" w:hint="eastAsia"/>
                <w:kern w:val="2"/>
                <w:sz w:val="24"/>
                <w:szCs w:val="24"/>
              </w:rPr>
              <w:t>6、医疗质量与专科服务指标：床位运行（床位使用率、床位周转率），专科服务能力（各康复项目治疗率、心理干预率、营养会诊率等）指标统计。</w:t>
            </w:r>
          </w:p>
          <w:p w14:paraId="1B95EAD4" w14:textId="77777777" w:rsidR="00CF02BF" w:rsidRDefault="00000000">
            <w:pPr>
              <w:pStyle w:val="2"/>
              <w:spacing w:line="360" w:lineRule="auto"/>
              <w:ind w:firstLine="480"/>
              <w:rPr>
                <w:rFonts w:eastAsia="宋体" w:cs="宋体"/>
                <w:kern w:val="2"/>
                <w:sz w:val="24"/>
                <w:szCs w:val="24"/>
              </w:rPr>
            </w:pPr>
            <w:r w:rsidRPr="009E1470">
              <w:rPr>
                <w:rFonts w:eastAsia="宋体" w:cs="宋体" w:hint="eastAsia"/>
                <w:kern w:val="2"/>
                <w:sz w:val="24"/>
                <w:szCs w:val="24"/>
              </w:rPr>
              <w:t>7、运营效率：医生工作量、护理工作量、设备使用率等、各区域候诊时长等；</w:t>
            </w:r>
          </w:p>
          <w:p w14:paraId="178AC00B" w14:textId="77777777" w:rsidR="00CF02BF" w:rsidRDefault="00000000">
            <w:pPr>
              <w:pStyle w:val="2"/>
              <w:spacing w:line="360" w:lineRule="auto"/>
              <w:ind w:firstLine="480"/>
              <w:rPr>
                <w:rFonts w:eastAsia="宋体" w:cs="宋体"/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</w:rPr>
              <w:t>8、人力资源：职工人员及各科室人员信息等相关指标。</w:t>
            </w:r>
          </w:p>
        </w:tc>
      </w:tr>
      <w:tr w:rsidR="00CF02BF" w14:paraId="6316A628" w14:textId="77777777">
        <w:trPr>
          <w:trHeight w:val="600"/>
        </w:trPr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6AD01D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4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BEC7EA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运营助手及驾驶舱</w:t>
            </w:r>
          </w:p>
        </w:tc>
        <w:tc>
          <w:tcPr>
            <w:tcW w:w="38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F53832" w14:textId="77777777" w:rsidR="00CF02BF" w:rsidRDefault="00000000">
            <w:pPr>
              <w:pStyle w:val="a"/>
              <w:numPr>
                <w:ilvl w:val="0"/>
                <w:numId w:val="6"/>
              </w:numPr>
              <w:spacing w:line="360" w:lineRule="auto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提供定制化运营数据驾驶舱大屏展示服务。实现各类运营指标的可视化分析，并支持多样化图表展示方式。</w:t>
            </w:r>
          </w:p>
          <w:p w14:paraId="2279D399" w14:textId="77777777" w:rsidR="00CF02BF" w:rsidRDefault="00000000">
            <w:pPr>
              <w:pStyle w:val="a"/>
              <w:numPr>
                <w:ilvl w:val="0"/>
                <w:numId w:val="6"/>
              </w:numPr>
              <w:spacing w:line="360" w:lineRule="auto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支持各类指标的详情查看，包括指标的同比、环比、以及指标导向的趋势。支持指标的下钻详情展示，包括按时间、科室、医生等维度，进行最细粒度的事实数据展示。</w:t>
            </w:r>
          </w:p>
          <w:p w14:paraId="36B74A9B" w14:textId="77777777" w:rsidR="00CF02BF" w:rsidRDefault="00000000">
            <w:pPr>
              <w:pStyle w:val="a"/>
              <w:numPr>
                <w:ilvl w:val="0"/>
                <w:numId w:val="6"/>
              </w:numPr>
              <w:spacing w:line="360" w:lineRule="auto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支持运营指标可视化手机端适配展示，可便捷查看全院及科室核心运营数据指标与异常预警，满足管理人员随时随地查看数据、实时掌握医院运营状况的移动办公需求。</w:t>
            </w:r>
          </w:p>
          <w:p w14:paraId="30B5F4BA" w14:textId="78EC872D" w:rsidR="00CF02BF" w:rsidRDefault="00000000">
            <w:pPr>
              <w:pStyle w:val="a"/>
              <w:numPr>
                <w:ilvl w:val="0"/>
                <w:numId w:val="6"/>
              </w:numPr>
              <w:spacing w:line="360" w:lineRule="auto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指标预警提醒：支持多途径的指标预警提醒功能，包括系统层面的重点指标预警展示以及手机端的消息推送提醒。</w:t>
            </w:r>
          </w:p>
          <w:p w14:paraId="3E0864FA" w14:textId="77777777" w:rsidR="00CF02BF" w:rsidRDefault="00000000">
            <w:pPr>
              <w:pStyle w:val="a"/>
              <w:numPr>
                <w:ilvl w:val="0"/>
                <w:numId w:val="6"/>
              </w:numPr>
              <w:spacing w:line="360" w:lineRule="auto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运营助手：院级层面分解指标到各科室，各科室可以随时查看指标完成情况，并定期反馈问题（简易运营助理功能）。</w:t>
            </w:r>
          </w:p>
        </w:tc>
      </w:tr>
      <w:tr w:rsidR="00CF02BF" w14:paraId="446C1AF6" w14:textId="77777777">
        <w:trPr>
          <w:trHeight w:val="600"/>
        </w:trPr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563CD3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684670" w14:textId="77777777" w:rsidR="00CF02BF" w:rsidRDefault="0000000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第三方数据接口</w:t>
            </w:r>
          </w:p>
        </w:tc>
        <w:tc>
          <w:tcPr>
            <w:tcW w:w="38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632416" w14:textId="77777777" w:rsidR="00CF02BF" w:rsidRDefault="00000000">
            <w:pPr>
              <w:pStyle w:val="2"/>
              <w:spacing w:line="360" w:lineRule="auto"/>
              <w:ind w:firstLine="480"/>
              <w:rPr>
                <w:rFonts w:eastAsia="宋体" w:cs="宋体"/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</w:rPr>
              <w:t>涉及第三方接口系统：HIS系统、物资管理/SPD系统、PACS系统、体检系统、预算管理系统、成本核算系统、绩效考核管理系统、人事管理系统、DRG分组系统、核算总账系统等。</w:t>
            </w:r>
          </w:p>
        </w:tc>
      </w:tr>
    </w:tbl>
    <w:p w14:paraId="4FACECAD" w14:textId="77777777" w:rsidR="00CF02BF" w:rsidRDefault="00CF02BF">
      <w:pPr>
        <w:rPr>
          <w:rFonts w:ascii="宋体" w:hAnsi="宋体" w:cs="宋体"/>
          <w:sz w:val="24"/>
          <w:szCs w:val="24"/>
        </w:rPr>
      </w:pPr>
    </w:p>
    <w:p w14:paraId="79F45165" w14:textId="77777777" w:rsidR="00CF02BF" w:rsidRDefault="00000000">
      <w:pPr>
        <w:pStyle w:val="Heading3"/>
        <w:snapToGrid w:val="0"/>
        <w:spacing w:before="156" w:after="156" w:line="360" w:lineRule="auto"/>
        <w:rPr>
          <w:rStyle w:val="NormalCharacter"/>
          <w:rFonts w:ascii="宋体" w:hAnsi="宋体" w:cs="宋体"/>
          <w:sz w:val="24"/>
          <w:szCs w:val="24"/>
        </w:rPr>
      </w:pPr>
      <w:r>
        <w:rPr>
          <w:rStyle w:val="NormalCharacter"/>
          <w:rFonts w:ascii="宋体" w:hAnsi="宋体" w:cs="宋体" w:hint="eastAsia"/>
          <w:color w:val="000000"/>
          <w:sz w:val="24"/>
          <w:szCs w:val="24"/>
        </w:rPr>
        <w:lastRenderedPageBreak/>
        <w:t>2.</w:t>
      </w:r>
      <w:r>
        <w:rPr>
          <w:rStyle w:val="NormalCharacter"/>
          <w:rFonts w:ascii="宋体" w:hAnsi="宋体" w:cs="宋体" w:hint="eastAsia"/>
          <w:sz w:val="24"/>
          <w:szCs w:val="24"/>
        </w:rPr>
        <w:t>服务要求</w:t>
      </w:r>
    </w:p>
    <w:p w14:paraId="61B1F5E2" w14:textId="77777777" w:rsidR="00CF02BF" w:rsidRDefault="00000000">
      <w:pPr>
        <w:pStyle w:val="179"/>
        <w:snapToGrid w:val="0"/>
        <w:spacing w:line="360" w:lineRule="auto"/>
        <w:ind w:firstLine="480"/>
        <w:rPr>
          <w:rStyle w:val="NormalCharacter"/>
          <w:rFonts w:ascii="宋体" w:hAnsi="宋体" w:cs="宋体"/>
          <w:color w:val="000000"/>
          <w:sz w:val="24"/>
          <w:szCs w:val="24"/>
        </w:rPr>
      </w:pPr>
      <w:r>
        <w:rPr>
          <w:rStyle w:val="NormalCharacter"/>
          <w:rFonts w:ascii="宋体" w:hAnsi="宋体" w:cs="宋体" w:hint="eastAsia"/>
          <w:sz w:val="24"/>
          <w:szCs w:val="24"/>
        </w:rPr>
        <w:t>1.系统免费维护期期为三年</w:t>
      </w:r>
      <w:r>
        <w:rPr>
          <w:rStyle w:val="NormalCharacter"/>
          <w:rFonts w:ascii="宋体" w:hAnsi="宋体" w:cs="宋体" w:hint="eastAsia"/>
          <w:color w:val="000000"/>
          <w:sz w:val="24"/>
          <w:szCs w:val="24"/>
        </w:rPr>
        <w:t>；在合同</w:t>
      </w:r>
      <w:r>
        <w:rPr>
          <w:rFonts w:ascii="宋体" w:hAnsi="宋体" w:cs="宋体" w:hint="eastAsia"/>
          <w:sz w:val="24"/>
          <w:szCs w:val="24"/>
        </w:rPr>
        <w:t>签订</w:t>
      </w:r>
      <w:r>
        <w:rPr>
          <w:rStyle w:val="NormalCharacter"/>
          <w:rFonts w:ascii="宋体" w:hAnsi="宋体" w:cs="宋体" w:hint="eastAsia"/>
          <w:color w:val="000000"/>
          <w:sz w:val="24"/>
          <w:szCs w:val="24"/>
        </w:rPr>
        <w:t>后60个工作日内完成并通过验收。</w:t>
      </w:r>
    </w:p>
    <w:p w14:paraId="6DC6418E" w14:textId="77777777" w:rsidR="00CF02BF" w:rsidRDefault="00000000">
      <w:pPr>
        <w:pStyle w:val="179"/>
        <w:snapToGrid w:val="0"/>
        <w:spacing w:line="360" w:lineRule="auto"/>
        <w:ind w:firstLine="480"/>
        <w:rPr>
          <w:rStyle w:val="NormalCharacter"/>
          <w:rFonts w:ascii="宋体" w:hAnsi="宋体" w:cs="宋体"/>
          <w:color w:val="000000"/>
          <w:sz w:val="24"/>
          <w:szCs w:val="24"/>
        </w:rPr>
      </w:pPr>
      <w:r>
        <w:rPr>
          <w:rStyle w:val="NormalCharacter"/>
          <w:rFonts w:ascii="宋体" w:hAnsi="宋体" w:cs="宋体" w:hint="eastAsia"/>
          <w:color w:val="000000"/>
          <w:sz w:val="24"/>
          <w:szCs w:val="24"/>
        </w:rPr>
        <w:t>2.提供7*24小时电话响应的售后服务。当收到医院的报修要求时，若2小时内电话无法解决，24小时内到达现场进行维护，48小时内解决完毕。</w:t>
      </w:r>
    </w:p>
    <w:p w14:paraId="2B1C116E" w14:textId="77777777" w:rsidR="00CF02BF" w:rsidRDefault="00000000">
      <w:pPr>
        <w:pStyle w:val="179"/>
        <w:snapToGrid w:val="0"/>
        <w:spacing w:line="360" w:lineRule="auto"/>
        <w:ind w:firstLine="480"/>
        <w:rPr>
          <w:rStyle w:val="NormalCharacter"/>
          <w:rFonts w:ascii="宋体" w:hAnsi="宋体" w:cs="宋体"/>
          <w:color w:val="000000"/>
          <w:sz w:val="24"/>
          <w:szCs w:val="24"/>
        </w:rPr>
      </w:pPr>
      <w:r>
        <w:rPr>
          <w:rStyle w:val="NormalCharacter"/>
          <w:rFonts w:ascii="宋体" w:hAnsi="宋体" w:cs="宋体" w:hint="eastAsia"/>
          <w:color w:val="000000"/>
          <w:sz w:val="24"/>
          <w:szCs w:val="24"/>
        </w:rPr>
        <w:t>3.组织有实施经验且不少于3人的团队，进驻医院提供项目实施和培训、运维等服务, 其中安排至少1名专职负责的项目经理实施期间驻场（具有PMP证书，医院信息化项目经验3年以上），确保用户系统可以及时上线。</w:t>
      </w:r>
    </w:p>
    <w:p w14:paraId="39600466" w14:textId="77777777" w:rsidR="00CF02BF" w:rsidRDefault="00000000">
      <w:pPr>
        <w:pStyle w:val="179"/>
        <w:snapToGrid w:val="0"/>
        <w:spacing w:line="360" w:lineRule="auto"/>
        <w:ind w:firstLine="480"/>
        <w:rPr>
          <w:rStyle w:val="NormalCharacter"/>
          <w:rFonts w:ascii="宋体" w:hAnsi="宋体" w:cs="宋体"/>
          <w:color w:val="000000"/>
          <w:sz w:val="24"/>
          <w:szCs w:val="24"/>
        </w:rPr>
      </w:pPr>
      <w:r>
        <w:rPr>
          <w:rStyle w:val="NormalCharacter"/>
          <w:rFonts w:ascii="宋体" w:hAnsi="宋体" w:cs="宋体" w:hint="eastAsia"/>
          <w:color w:val="000000"/>
          <w:sz w:val="24"/>
          <w:szCs w:val="24"/>
        </w:rPr>
        <w:t>4.满足用户提出的日常修改需求，配合用户进行上级检查和各项测评等工作。</w:t>
      </w:r>
    </w:p>
    <w:p w14:paraId="4462426A" w14:textId="77777777" w:rsidR="00CF02BF" w:rsidRDefault="00000000">
      <w:pPr>
        <w:pStyle w:val="179"/>
        <w:snapToGrid w:val="0"/>
        <w:spacing w:line="360" w:lineRule="auto"/>
        <w:ind w:firstLine="480"/>
        <w:rPr>
          <w:rFonts w:ascii="宋体" w:hAnsi="宋体" w:cs="宋体"/>
          <w:sz w:val="24"/>
          <w:szCs w:val="24"/>
        </w:rPr>
      </w:pPr>
      <w:r>
        <w:rPr>
          <w:rStyle w:val="NormalCharacter"/>
          <w:rFonts w:ascii="宋体" w:hAnsi="宋体" w:cs="宋体" w:hint="eastAsia"/>
          <w:color w:val="000000"/>
          <w:sz w:val="24"/>
          <w:szCs w:val="24"/>
        </w:rPr>
        <w:t>5.</w:t>
      </w:r>
      <w:r>
        <w:rPr>
          <w:rFonts w:ascii="宋体" w:hAnsi="宋体" w:cs="宋体" w:hint="eastAsia"/>
          <w:sz w:val="24"/>
          <w:szCs w:val="24"/>
        </w:rPr>
        <w:t>供应商需提供招标文件中第三方接口费用（如有）、免费维护期后升级和维护的费用标准。</w:t>
      </w:r>
    </w:p>
    <w:sectPr w:rsidR="00CF02B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panose1 w:val="020B0604020202020204"/>
    <w:charset w:val="86"/>
    <w:family w:val="modern"/>
    <w:pitch w:val="default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ongti SC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Times New Roman (正文 CS 字体)">
    <w:altName w:val="宋体"/>
    <w:panose1 w:val="020B0604020202020204"/>
    <w:charset w:val="86"/>
    <w:family w:val="roman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985FB2"/>
    <w:multiLevelType w:val="multilevel"/>
    <w:tmpl w:val="2D985FB2"/>
    <w:lvl w:ilvl="0">
      <w:start w:val="1"/>
      <w:numFmt w:val="decimal"/>
      <w:pStyle w:val="a"/>
      <w:lvlText w:val="%1."/>
      <w:lvlJc w:val="left"/>
      <w:pPr>
        <w:ind w:left="553" w:hanging="440"/>
      </w:pPr>
    </w:lvl>
    <w:lvl w:ilvl="1">
      <w:start w:val="1"/>
      <w:numFmt w:val="lowerLetter"/>
      <w:lvlText w:val="%2)"/>
      <w:lvlJc w:val="left"/>
      <w:pPr>
        <w:ind w:left="1080" w:hanging="440"/>
      </w:pPr>
    </w:lvl>
    <w:lvl w:ilvl="2">
      <w:start w:val="1"/>
      <w:numFmt w:val="lowerRoman"/>
      <w:lvlText w:val="%3."/>
      <w:lvlJc w:val="right"/>
      <w:pPr>
        <w:ind w:left="1520" w:hanging="440"/>
      </w:pPr>
    </w:lvl>
    <w:lvl w:ilvl="3">
      <w:start w:val="1"/>
      <w:numFmt w:val="decimal"/>
      <w:lvlText w:val="%4."/>
      <w:lvlJc w:val="left"/>
      <w:pPr>
        <w:ind w:left="1960" w:hanging="440"/>
      </w:pPr>
    </w:lvl>
    <w:lvl w:ilvl="4">
      <w:start w:val="1"/>
      <w:numFmt w:val="lowerLetter"/>
      <w:lvlText w:val="%5)"/>
      <w:lvlJc w:val="left"/>
      <w:pPr>
        <w:ind w:left="2400" w:hanging="440"/>
      </w:pPr>
    </w:lvl>
    <w:lvl w:ilvl="5">
      <w:start w:val="1"/>
      <w:numFmt w:val="lowerRoman"/>
      <w:lvlText w:val="%6."/>
      <w:lvlJc w:val="right"/>
      <w:pPr>
        <w:ind w:left="2840" w:hanging="440"/>
      </w:pPr>
    </w:lvl>
    <w:lvl w:ilvl="6">
      <w:start w:val="1"/>
      <w:numFmt w:val="decimal"/>
      <w:lvlText w:val="%7."/>
      <w:lvlJc w:val="left"/>
      <w:pPr>
        <w:ind w:left="3280" w:hanging="440"/>
      </w:pPr>
    </w:lvl>
    <w:lvl w:ilvl="7">
      <w:start w:val="1"/>
      <w:numFmt w:val="lowerLetter"/>
      <w:lvlText w:val="%8)"/>
      <w:lvlJc w:val="left"/>
      <w:pPr>
        <w:ind w:left="3720" w:hanging="440"/>
      </w:pPr>
    </w:lvl>
    <w:lvl w:ilvl="8">
      <w:start w:val="1"/>
      <w:numFmt w:val="lowerRoman"/>
      <w:lvlText w:val="%9."/>
      <w:lvlJc w:val="right"/>
      <w:pPr>
        <w:ind w:left="4160" w:hanging="440"/>
      </w:pPr>
    </w:lvl>
  </w:abstractNum>
  <w:abstractNum w:abstractNumId="1" w15:restartNumberingAfterBreak="0">
    <w:nsid w:val="6486337D"/>
    <w:multiLevelType w:val="multilevel"/>
    <w:tmpl w:val="6486337D"/>
    <w:lvl w:ilvl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>
      <w:start w:val="1"/>
      <w:numFmt w:val="decimal"/>
      <w:isLgl/>
      <w:lvlText w:val="%1.%2"/>
      <w:lvlJc w:val="left"/>
      <w:pPr>
        <w:ind w:left="992" w:hanging="992"/>
      </w:pPr>
    </w:lvl>
    <w:lvl w:ilvl="2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>
      <w:start w:val="1"/>
      <w:numFmt w:val="decimal"/>
      <w:pStyle w:val="a0"/>
      <w:lvlText w:val="%1.%2.%3.%4"/>
      <w:lvlJc w:val="left"/>
      <w:pPr>
        <w:ind w:left="1984" w:hanging="1984"/>
      </w:pPr>
      <w:rPr>
        <w:rFonts w:hint="eastAsia"/>
      </w:rPr>
    </w:lvl>
    <w:lvl w:ilvl="4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abstractNum w:abstractNumId="2" w15:restartNumberingAfterBreak="0">
    <w:nsid w:val="7B814919"/>
    <w:multiLevelType w:val="multilevel"/>
    <w:tmpl w:val="7B814919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 w16cid:durableId="1708140436">
    <w:abstractNumId w:val="0"/>
  </w:num>
  <w:num w:numId="2" w16cid:durableId="704871979">
    <w:abstractNumId w:val="1"/>
  </w:num>
  <w:num w:numId="3" w16cid:durableId="1949773731">
    <w:abstractNumId w:val="2"/>
  </w:num>
  <w:num w:numId="4" w16cid:durableId="1282072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774586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52119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8"/>
  <w:doNotDisplayPageBoundaries/>
  <w:embedSystemFonts/>
  <w:bordersDoNotSurroundHeader/>
  <w:bordersDoNotSurroundFooter/>
  <w:proofState w:spelling="clean" w:grammar="clean"/>
  <w:defaultTabStop w:val="420"/>
  <w:doNotUseMarginsForDrawingGridOrigin/>
  <w:drawingGridHorizontalOrigin w:val="1800"/>
  <w:drawingGridVerticalOrigin w:val="1440"/>
  <w:noPunctuationKerning/>
  <w:characterSpacingControl w:val="doNotCompress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2QxYzVlMjExNDM1ZWEwMjEzMzFjZTZjMTUyZGRhMzYifQ=="/>
  </w:docVars>
  <w:rsids>
    <w:rsidRoot w:val="00826FF5"/>
    <w:rsid w:val="DDFF0070"/>
    <w:rsid w:val="00000149"/>
    <w:rsid w:val="00024253"/>
    <w:rsid w:val="000470FB"/>
    <w:rsid w:val="00060B57"/>
    <w:rsid w:val="000669C5"/>
    <w:rsid w:val="000C5FBF"/>
    <w:rsid w:val="000C6164"/>
    <w:rsid w:val="0018639E"/>
    <w:rsid w:val="00186C2C"/>
    <w:rsid w:val="001F79A5"/>
    <w:rsid w:val="00236790"/>
    <w:rsid w:val="00242101"/>
    <w:rsid w:val="00275FAF"/>
    <w:rsid w:val="00282567"/>
    <w:rsid w:val="002D35E0"/>
    <w:rsid w:val="002F4B01"/>
    <w:rsid w:val="002F5F13"/>
    <w:rsid w:val="003141F5"/>
    <w:rsid w:val="003153B2"/>
    <w:rsid w:val="00331469"/>
    <w:rsid w:val="00364A3A"/>
    <w:rsid w:val="0037001B"/>
    <w:rsid w:val="003700B4"/>
    <w:rsid w:val="0037244F"/>
    <w:rsid w:val="003827AA"/>
    <w:rsid w:val="003A62AA"/>
    <w:rsid w:val="003D344D"/>
    <w:rsid w:val="003D3572"/>
    <w:rsid w:val="003E02B8"/>
    <w:rsid w:val="004338E1"/>
    <w:rsid w:val="004465CC"/>
    <w:rsid w:val="00454C7B"/>
    <w:rsid w:val="00465727"/>
    <w:rsid w:val="00466BAA"/>
    <w:rsid w:val="004C2376"/>
    <w:rsid w:val="004E1FA0"/>
    <w:rsid w:val="00583277"/>
    <w:rsid w:val="00586895"/>
    <w:rsid w:val="005C3C41"/>
    <w:rsid w:val="005D253E"/>
    <w:rsid w:val="005D7C98"/>
    <w:rsid w:val="005E7B95"/>
    <w:rsid w:val="006221C7"/>
    <w:rsid w:val="00624FAA"/>
    <w:rsid w:val="006474BC"/>
    <w:rsid w:val="006613F8"/>
    <w:rsid w:val="006823A5"/>
    <w:rsid w:val="006A2CED"/>
    <w:rsid w:val="006A71F2"/>
    <w:rsid w:val="006C3CDD"/>
    <w:rsid w:val="006D6528"/>
    <w:rsid w:val="006E1671"/>
    <w:rsid w:val="007025EC"/>
    <w:rsid w:val="0076066A"/>
    <w:rsid w:val="00762C57"/>
    <w:rsid w:val="00764C66"/>
    <w:rsid w:val="00776280"/>
    <w:rsid w:val="007B6879"/>
    <w:rsid w:val="007C4059"/>
    <w:rsid w:val="007D5D34"/>
    <w:rsid w:val="007E2D6B"/>
    <w:rsid w:val="007F7BDD"/>
    <w:rsid w:val="00826FF5"/>
    <w:rsid w:val="00850343"/>
    <w:rsid w:val="00852F3B"/>
    <w:rsid w:val="00864B90"/>
    <w:rsid w:val="00864E1C"/>
    <w:rsid w:val="00882899"/>
    <w:rsid w:val="008A1C84"/>
    <w:rsid w:val="008A59D8"/>
    <w:rsid w:val="008B27C9"/>
    <w:rsid w:val="00906E3E"/>
    <w:rsid w:val="009465C1"/>
    <w:rsid w:val="00970047"/>
    <w:rsid w:val="00971219"/>
    <w:rsid w:val="00976E94"/>
    <w:rsid w:val="00983A7A"/>
    <w:rsid w:val="009A5842"/>
    <w:rsid w:val="009A78FC"/>
    <w:rsid w:val="009D6F9E"/>
    <w:rsid w:val="009E1470"/>
    <w:rsid w:val="009E3500"/>
    <w:rsid w:val="009E38CF"/>
    <w:rsid w:val="00A913A2"/>
    <w:rsid w:val="00A95A82"/>
    <w:rsid w:val="00AC76ED"/>
    <w:rsid w:val="00AE2A0B"/>
    <w:rsid w:val="00B20012"/>
    <w:rsid w:val="00B34C6A"/>
    <w:rsid w:val="00B378DB"/>
    <w:rsid w:val="00B43F76"/>
    <w:rsid w:val="00B62CC4"/>
    <w:rsid w:val="00B63B01"/>
    <w:rsid w:val="00B8520C"/>
    <w:rsid w:val="00B95CEA"/>
    <w:rsid w:val="00BA690B"/>
    <w:rsid w:val="00BB441A"/>
    <w:rsid w:val="00BC1F0C"/>
    <w:rsid w:val="00BC52E7"/>
    <w:rsid w:val="00BE129E"/>
    <w:rsid w:val="00BE56A7"/>
    <w:rsid w:val="00BF31C9"/>
    <w:rsid w:val="00BF6662"/>
    <w:rsid w:val="00C2406A"/>
    <w:rsid w:val="00C433B6"/>
    <w:rsid w:val="00C468C5"/>
    <w:rsid w:val="00C56E49"/>
    <w:rsid w:val="00C60C39"/>
    <w:rsid w:val="00C91FA9"/>
    <w:rsid w:val="00CA3C71"/>
    <w:rsid w:val="00CB7447"/>
    <w:rsid w:val="00CF02BF"/>
    <w:rsid w:val="00D23F34"/>
    <w:rsid w:val="00D25623"/>
    <w:rsid w:val="00D41A17"/>
    <w:rsid w:val="00DA1F2D"/>
    <w:rsid w:val="00DE7970"/>
    <w:rsid w:val="00E116DE"/>
    <w:rsid w:val="00E21F9A"/>
    <w:rsid w:val="00E36C11"/>
    <w:rsid w:val="00E45D41"/>
    <w:rsid w:val="00E64C8B"/>
    <w:rsid w:val="00E72723"/>
    <w:rsid w:val="00E77F68"/>
    <w:rsid w:val="00E862AB"/>
    <w:rsid w:val="00ED56F0"/>
    <w:rsid w:val="00EE1977"/>
    <w:rsid w:val="00F17D98"/>
    <w:rsid w:val="00F2462A"/>
    <w:rsid w:val="00F503A0"/>
    <w:rsid w:val="00FA08FA"/>
    <w:rsid w:val="00FA54AD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C127A61"/>
    <w:rsid w:val="0C593530"/>
    <w:rsid w:val="0D4C4E97"/>
    <w:rsid w:val="0DCD52F8"/>
    <w:rsid w:val="0DFE51FE"/>
    <w:rsid w:val="0F1F36E8"/>
    <w:rsid w:val="11524A76"/>
    <w:rsid w:val="120A60E3"/>
    <w:rsid w:val="123C5817"/>
    <w:rsid w:val="12483103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A8177A"/>
    <w:rsid w:val="23B16EF5"/>
    <w:rsid w:val="241C39CC"/>
    <w:rsid w:val="24C60958"/>
    <w:rsid w:val="25330DD5"/>
    <w:rsid w:val="26CC272C"/>
    <w:rsid w:val="270B4AEF"/>
    <w:rsid w:val="27F16B9C"/>
    <w:rsid w:val="296F549A"/>
    <w:rsid w:val="29CF6AAC"/>
    <w:rsid w:val="2A54710E"/>
    <w:rsid w:val="2A7A5F50"/>
    <w:rsid w:val="2D88263F"/>
    <w:rsid w:val="2E56677B"/>
    <w:rsid w:val="30344376"/>
    <w:rsid w:val="30424486"/>
    <w:rsid w:val="31AB2B70"/>
    <w:rsid w:val="325A5B61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D07D75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B60CC1"/>
    <w:rsid w:val="4DD3452E"/>
    <w:rsid w:val="4E1F2971"/>
    <w:rsid w:val="4E710D88"/>
    <w:rsid w:val="4FCE7F44"/>
    <w:rsid w:val="529F57F8"/>
    <w:rsid w:val="545E1BFE"/>
    <w:rsid w:val="54FD0D9B"/>
    <w:rsid w:val="55C10A2C"/>
    <w:rsid w:val="55D73B9B"/>
    <w:rsid w:val="56C46E15"/>
    <w:rsid w:val="58A40196"/>
    <w:rsid w:val="59735F4E"/>
    <w:rsid w:val="5A477276"/>
    <w:rsid w:val="5A854D88"/>
    <w:rsid w:val="5C7731D7"/>
    <w:rsid w:val="5CD42E1F"/>
    <w:rsid w:val="5D350CD2"/>
    <w:rsid w:val="5D42069B"/>
    <w:rsid w:val="5DF7504B"/>
    <w:rsid w:val="5E431D8C"/>
    <w:rsid w:val="61185991"/>
    <w:rsid w:val="621E00A0"/>
    <w:rsid w:val="62595B4D"/>
    <w:rsid w:val="64733CBD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44A781E"/>
    <w:rsid w:val="74EB2CB7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40863D5A"/>
  <w15:docId w15:val="{FA017F2E-5E0F-EA40-AF21-ACB25129F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uiPriority="39" w:unhideWhenUsed="1" w:qFormat="1"/>
    <w:lsdException w:name="Normal Indent" w:semiHidden="1" w:uiPriority="99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/>
    <w:lsdException w:name="Body Text Indent" w:uiPriority="99" w:qFormat="1"/>
    <w:lsdException w:name="Subtitle" w:uiPriority="11" w:qFormat="1"/>
    <w:lsdException w:name="Body Text First Indent 2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next w:val="2"/>
    <w:qFormat/>
    <w:pPr>
      <w:jc w:val="both"/>
    </w:pPr>
    <w:rPr>
      <w:rFonts w:cstheme="minorBidi"/>
      <w:kern w:val="2"/>
      <w:sz w:val="21"/>
    </w:rPr>
  </w:style>
  <w:style w:type="paragraph" w:styleId="1">
    <w:name w:val="heading 1"/>
    <w:basedOn w:val="a1"/>
    <w:next w:val="a1"/>
    <w:qFormat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a1"/>
    <w:next w:val="a1"/>
    <w:qFormat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2">
    <w:name w:val="Body Text First Indent 2"/>
    <w:basedOn w:val="a5"/>
    <w:link w:val="20"/>
    <w:qFormat/>
    <w:pPr>
      <w:ind w:firstLineChars="200" w:firstLine="200"/>
      <w:jc w:val="left"/>
    </w:pPr>
    <w:rPr>
      <w:rFonts w:ascii="宋体" w:hAnsi="宋体"/>
    </w:rPr>
  </w:style>
  <w:style w:type="paragraph" w:styleId="a5">
    <w:name w:val="Body Text Indent"/>
    <w:basedOn w:val="a1"/>
    <w:uiPriority w:val="99"/>
    <w:qFormat/>
    <w:pPr>
      <w:ind w:firstLineChars="352" w:firstLine="830"/>
    </w:pPr>
    <w:rPr>
      <w:rFonts w:ascii="仿宋_GB2312" w:eastAsia="仿宋_GB2312" w:hAnsi="Calibri"/>
      <w:kern w:val="0"/>
      <w:sz w:val="32"/>
    </w:rPr>
  </w:style>
  <w:style w:type="paragraph" w:styleId="a6">
    <w:name w:val="Normal Indent"/>
    <w:basedOn w:val="a1"/>
    <w:uiPriority w:val="99"/>
    <w:semiHidden/>
    <w:unhideWhenUsed/>
    <w:qFormat/>
    <w:pPr>
      <w:ind w:firstLineChars="200" w:firstLine="420"/>
    </w:pPr>
  </w:style>
  <w:style w:type="paragraph" w:styleId="a7">
    <w:name w:val="annotation text"/>
    <w:basedOn w:val="a1"/>
    <w:link w:val="a8"/>
    <w:qFormat/>
    <w:pPr>
      <w:jc w:val="left"/>
    </w:pPr>
  </w:style>
  <w:style w:type="paragraph" w:styleId="a9">
    <w:name w:val="footer"/>
    <w:basedOn w:val="a1"/>
    <w:link w:val="a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1"/>
    <w:link w:val="ac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Subtitle"/>
    <w:basedOn w:val="a1"/>
    <w:next w:val="a1"/>
    <w:uiPriority w:val="11"/>
    <w:qFormat/>
    <w:pPr>
      <w:jc w:val="center"/>
    </w:pPr>
    <w:rPr>
      <w:rFonts w:asciiTheme="majorHAnsi" w:eastAsiaTheme="majorEastAsia" w:hAnsiTheme="majorHAnsi"/>
      <w:iCs/>
      <w:smallCaps/>
      <w:spacing w:val="10"/>
      <w:sz w:val="28"/>
      <w:szCs w:val="28"/>
    </w:rPr>
  </w:style>
  <w:style w:type="paragraph" w:styleId="TOC2">
    <w:name w:val="toc 2"/>
    <w:basedOn w:val="a1"/>
    <w:next w:val="a1"/>
    <w:uiPriority w:val="39"/>
    <w:unhideWhenUsed/>
    <w:qFormat/>
    <w:pPr>
      <w:ind w:leftChars="200" w:left="420"/>
    </w:pPr>
  </w:style>
  <w:style w:type="paragraph" w:styleId="ae">
    <w:name w:val="Normal (Web)"/>
    <w:basedOn w:val="a1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f">
    <w:name w:val="annotation subject"/>
    <w:basedOn w:val="a7"/>
    <w:next w:val="a7"/>
    <w:link w:val="af0"/>
    <w:qFormat/>
    <w:rPr>
      <w:b/>
      <w:bCs/>
    </w:rPr>
  </w:style>
  <w:style w:type="table" w:styleId="af1">
    <w:name w:val="Table Grid"/>
    <w:basedOn w:val="a3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Strong"/>
    <w:basedOn w:val="a2"/>
    <w:uiPriority w:val="22"/>
    <w:qFormat/>
    <w:rPr>
      <w:b/>
      <w:bCs/>
    </w:rPr>
  </w:style>
  <w:style w:type="character" w:styleId="af3">
    <w:name w:val="annotation reference"/>
    <w:basedOn w:val="a2"/>
    <w:qFormat/>
    <w:rPr>
      <w:sz w:val="21"/>
      <w:szCs w:val="21"/>
    </w:rPr>
  </w:style>
  <w:style w:type="paragraph" w:customStyle="1" w:styleId="Heading3">
    <w:name w:val="Heading3"/>
    <w:basedOn w:val="a1"/>
    <w:next w:val="a1"/>
    <w:link w:val="UserStyle0"/>
    <w:qFormat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NormalCharacter">
    <w:name w:val="NormalCharacter"/>
    <w:link w:val="UserStyle3"/>
    <w:qFormat/>
  </w:style>
  <w:style w:type="paragraph" w:customStyle="1" w:styleId="UserStyle3">
    <w:name w:val="UserStyle_3"/>
    <w:basedOn w:val="a1"/>
    <w:link w:val="NormalCharacter"/>
    <w:qFormat/>
    <w:pPr>
      <w:spacing w:after="160" w:line="240" w:lineRule="exact"/>
      <w:jc w:val="left"/>
    </w:pPr>
  </w:style>
  <w:style w:type="table" w:customStyle="1" w:styleId="TableNormal">
    <w:name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UserStyle0">
    <w:name w:val="UserStyle_0"/>
    <w:link w:val="Heading3"/>
    <w:qFormat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UserStyle1">
    <w:name w:val="UserStyle_1"/>
    <w:link w:val="NormalIndent"/>
    <w:qFormat/>
    <w:rPr>
      <w:rFonts w:eastAsia="宋体"/>
      <w:kern w:val="2"/>
      <w:sz w:val="21"/>
      <w:lang w:val="en-US" w:eastAsia="zh-CN" w:bidi="ar-SA"/>
    </w:rPr>
  </w:style>
  <w:style w:type="paragraph" w:customStyle="1" w:styleId="NormalIndent">
    <w:name w:val="NormalIndent"/>
    <w:basedOn w:val="a1"/>
    <w:link w:val="UserStyle1"/>
    <w:qFormat/>
    <w:pPr>
      <w:ind w:firstLine="420"/>
    </w:pPr>
  </w:style>
  <w:style w:type="character" w:customStyle="1" w:styleId="UserStyle2">
    <w:name w:val="UserStyle_2"/>
    <w:link w:val="179"/>
    <w:qFormat/>
    <w:rPr>
      <w:rFonts w:eastAsia="宋体"/>
      <w:kern w:val="2"/>
      <w:sz w:val="21"/>
      <w:lang w:val="en-US" w:eastAsia="zh-CN" w:bidi="ar-SA"/>
    </w:rPr>
  </w:style>
  <w:style w:type="paragraph" w:customStyle="1" w:styleId="179">
    <w:name w:val="179"/>
    <w:basedOn w:val="a1"/>
    <w:link w:val="UserStyle2"/>
    <w:qFormat/>
    <w:pPr>
      <w:ind w:firstLineChars="200" w:firstLine="420"/>
    </w:pPr>
  </w:style>
  <w:style w:type="paragraph" w:customStyle="1" w:styleId="Acetate">
    <w:name w:val="Acetate"/>
    <w:basedOn w:val="a1"/>
    <w:semiHidden/>
    <w:qFormat/>
    <w:rPr>
      <w:sz w:val="18"/>
      <w:szCs w:val="18"/>
    </w:rPr>
  </w:style>
  <w:style w:type="paragraph" w:customStyle="1" w:styleId="UserStyle4">
    <w:name w:val="UserStyle_4"/>
    <w:basedOn w:val="a1"/>
    <w:qFormat/>
    <w:rPr>
      <w:rFonts w:ascii="Tahoma" w:hAnsi="Tahoma"/>
      <w:sz w:val="24"/>
    </w:rPr>
  </w:style>
  <w:style w:type="table" w:customStyle="1" w:styleId="TableGrid">
    <w:name w:val="TableGrid"/>
    <w:basedOn w:val="TableNormal"/>
    <w:qFormat/>
    <w:tblPr/>
  </w:style>
  <w:style w:type="character" w:customStyle="1" w:styleId="ac">
    <w:name w:val="页眉 字符"/>
    <w:basedOn w:val="a2"/>
    <w:link w:val="ab"/>
    <w:qFormat/>
    <w:rPr>
      <w:kern w:val="2"/>
      <w:sz w:val="18"/>
      <w:szCs w:val="18"/>
    </w:rPr>
  </w:style>
  <w:style w:type="character" w:customStyle="1" w:styleId="aa">
    <w:name w:val="页脚 字符"/>
    <w:basedOn w:val="a2"/>
    <w:link w:val="a9"/>
    <w:qFormat/>
    <w:rPr>
      <w:kern w:val="2"/>
      <w:sz w:val="18"/>
      <w:szCs w:val="18"/>
    </w:rPr>
  </w:style>
  <w:style w:type="character" w:customStyle="1" w:styleId="a8">
    <w:name w:val="批注文字 字符"/>
    <w:basedOn w:val="a2"/>
    <w:link w:val="a7"/>
    <w:qFormat/>
    <w:rPr>
      <w:rFonts w:ascii="Times New Roman" w:hAnsi="Times New Roman" w:cstheme="minorBidi"/>
      <w:kern w:val="2"/>
      <w:sz w:val="21"/>
    </w:rPr>
  </w:style>
  <w:style w:type="character" w:customStyle="1" w:styleId="af0">
    <w:name w:val="批注主题 字符"/>
    <w:basedOn w:val="a8"/>
    <w:link w:val="af"/>
    <w:qFormat/>
    <w:rPr>
      <w:rFonts w:ascii="Times New Roman" w:hAnsi="Times New Roman" w:cstheme="minorBidi"/>
      <w:b/>
      <w:bCs/>
      <w:kern w:val="2"/>
      <w:sz w:val="21"/>
    </w:rPr>
  </w:style>
  <w:style w:type="paragraph" w:customStyle="1" w:styleId="Char1CharCharChar">
    <w:name w:val="Char1 Char Char Char"/>
    <w:basedOn w:val="a1"/>
    <w:qFormat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font01">
    <w:name w:val="font01"/>
    <w:basedOn w:val="a2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">
    <w:name w:val="List Paragraph"/>
    <w:basedOn w:val="a1"/>
    <w:uiPriority w:val="34"/>
    <w:qFormat/>
    <w:pPr>
      <w:numPr>
        <w:numId w:val="1"/>
      </w:numPr>
      <w:jc w:val="left"/>
    </w:pPr>
    <w:rPr>
      <w:rFonts w:ascii="宋体" w:hAnsi="微软雅黑" w:cs="微软雅黑"/>
    </w:rPr>
  </w:style>
  <w:style w:type="paragraph" w:customStyle="1" w:styleId="a0">
    <w:name w:val="方案四级标题"/>
    <w:qFormat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eastAsia="SimSun-ExtB" w:hAnsi="Songti SC" w:cs="Times New Roman (正文 CS 字体)"/>
      <w:kern w:val="2"/>
      <w:sz w:val="21"/>
      <w:szCs w:val="24"/>
    </w:rPr>
  </w:style>
  <w:style w:type="paragraph" w:customStyle="1" w:styleId="ListParagraph1">
    <w:name w:val="List Paragraph1"/>
    <w:basedOn w:val="a1"/>
    <w:pPr>
      <w:widowControl w:val="0"/>
      <w:ind w:firstLineChars="200" w:firstLine="420"/>
    </w:pPr>
    <w:rPr>
      <w:rFonts w:ascii="Calibri" w:hAnsi="Calibri" w:cs="Times New Roman"/>
      <w:szCs w:val="22"/>
    </w:rPr>
  </w:style>
  <w:style w:type="character" w:customStyle="1" w:styleId="20">
    <w:name w:val="正文文本首行缩进 2 字符"/>
    <w:basedOn w:val="a2"/>
    <w:link w:val="2"/>
    <w:qFormat/>
    <w:rPr>
      <w:rFonts w:ascii="宋体" w:eastAsia="仿宋_GB2312" w:hAnsi="宋体" w:cstheme="minorBidi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5</Pages>
  <Words>443</Words>
  <Characters>2528</Characters>
  <Application>Microsoft Office Word</Application>
  <DocSecurity>0</DocSecurity>
  <Lines>21</Lines>
  <Paragraphs>5</Paragraphs>
  <ScaleCrop>false</ScaleCrop>
  <Company>Organization</Company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adminstirator</dc:creator>
  <cp:lastModifiedBy>吴章红</cp:lastModifiedBy>
  <cp:revision>55</cp:revision>
  <dcterms:created xsi:type="dcterms:W3CDTF">2025-11-03T05:29:00Z</dcterms:created>
  <dcterms:modified xsi:type="dcterms:W3CDTF">2026-03-19T03:09:00Z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514B710886D24810AE50FE0775EDD2A3_13</vt:lpwstr>
  </property>
  <property fmtid="{D5CDD505-2E9C-101B-9397-08002B2CF9AE}" pid="4" name="KSOTemplateDocerSaveRecord">
    <vt:lpwstr>eyJoZGlkIjoiYjlkYzA2NjYxNDM5MDE3ZmI2OGU5ODFlOGU3Yzg4ZTMiLCJ1c2VySWQiOiIzNTgyMTgwNDUifQ==</vt:lpwstr>
  </property>
</Properties>
</file>