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2818E4">
      <w:pPr>
        <w:pStyle w:val="2"/>
        <w:ind w:left="0" w:leftChars="0" w:firstLine="0" w:firstLineChars="0"/>
        <w:jc w:val="center"/>
        <w:rPr>
          <w:rFonts w:hint="eastAsia" w:ascii="黑体" w:hAnsi="黑体" w:eastAsia="黑体" w:cs="黑体"/>
          <w:sz w:val="36"/>
          <w:szCs w:val="36"/>
          <w:lang w:val="en-US" w:eastAsia="zh-CN"/>
        </w:rPr>
      </w:pPr>
      <w:bookmarkStart w:id="6" w:name="_GoBack"/>
      <w:bookmarkEnd w:id="6"/>
      <w:r>
        <w:rPr>
          <w:rFonts w:hint="eastAsia" w:ascii="黑体" w:hAnsi="黑体" w:eastAsia="黑体" w:cs="黑体"/>
          <w:sz w:val="36"/>
          <w:szCs w:val="36"/>
          <w:lang w:val="en-US" w:eastAsia="zh-CN"/>
        </w:rPr>
        <w:t>湖州市第三人民医院10KV变配电系统</w:t>
      </w:r>
    </w:p>
    <w:p w14:paraId="7FCAE36F">
      <w:pPr>
        <w:pStyle w:val="2"/>
        <w:ind w:left="0" w:leftChars="0" w:firstLine="0" w:firstLineChars="0"/>
        <w:jc w:val="center"/>
        <w:rPr>
          <w:rFonts w:hint="eastAsia" w:ascii="黑体" w:hAnsi="黑体" w:eastAsia="黑体" w:cs="黑体"/>
          <w:sz w:val="36"/>
          <w:szCs w:val="36"/>
          <w:lang w:val="en-US" w:eastAsia="zh-CN"/>
        </w:rPr>
      </w:pPr>
      <w:r>
        <w:rPr>
          <w:rFonts w:hint="eastAsia" w:ascii="黑体" w:hAnsi="黑体" w:eastAsia="黑体" w:cs="黑体"/>
          <w:sz w:val="36"/>
          <w:szCs w:val="36"/>
          <w:lang w:val="en-US" w:eastAsia="zh-CN"/>
        </w:rPr>
        <w:t>预防性检测工作标准和清单</w:t>
      </w:r>
    </w:p>
    <w:p w14:paraId="3BE60219">
      <w:pPr>
        <w:pStyle w:val="13"/>
        <w:spacing w:line="360" w:lineRule="auto"/>
        <w:ind w:firstLine="31680"/>
        <w:rPr>
          <w:rFonts w:hint="eastAsia" w:ascii="仿宋" w:hAnsi="仿宋" w:eastAsia="仿宋" w:cs="仿宋"/>
          <w:sz w:val="24"/>
          <w:szCs w:val="24"/>
        </w:rPr>
      </w:pPr>
    </w:p>
    <w:p w14:paraId="790B815B">
      <w:pPr>
        <w:pStyle w:val="13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482" w:firstLineChars="200"/>
        <w:textAlignment w:val="auto"/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一、检测依据</w:t>
      </w:r>
    </w:p>
    <w:p w14:paraId="0EB2A999">
      <w:pPr>
        <w:pStyle w:val="13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检查并及时处理供配电设备隐患，满足设备在良好的条件下运行，确保设备性能，保证安全运行。</w:t>
      </w:r>
      <w:bookmarkStart w:id="0" w:name="_Toc131302415"/>
      <w:bookmarkStart w:id="1" w:name="_Toc125164370"/>
      <w:bookmarkStart w:id="2" w:name="_Toc287857272"/>
      <w:bookmarkStart w:id="3" w:name="_Toc124907310"/>
      <w:r>
        <w:rPr>
          <w:rFonts w:hint="eastAsia" w:ascii="宋体" w:hAnsi="宋体" w:eastAsia="宋体" w:cs="宋体"/>
          <w:sz w:val="24"/>
          <w:szCs w:val="24"/>
        </w:rPr>
        <w:t>预防性试验及年度维护的依据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标准如下</w:t>
      </w:r>
      <w:r>
        <w:rPr>
          <w:rFonts w:hint="eastAsia" w:ascii="宋体" w:hAnsi="宋体" w:eastAsia="宋体" w:cs="宋体"/>
          <w:sz w:val="24"/>
          <w:szCs w:val="24"/>
        </w:rPr>
        <w:t>：</w:t>
      </w:r>
    </w:p>
    <w:p w14:paraId="5A41C73B">
      <w:pPr>
        <w:pStyle w:val="14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《DL/T 596-2021 电力设备预防性试验规程》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；</w:t>
      </w:r>
      <w:r>
        <w:rPr>
          <w:rFonts w:hint="eastAsia" w:ascii="宋体" w:hAnsi="宋体" w:eastAsia="宋体" w:cs="宋体"/>
          <w:sz w:val="24"/>
          <w:szCs w:val="24"/>
        </w:rPr>
        <w:t> </w:t>
      </w:r>
    </w:p>
    <w:p w14:paraId="37B1F624">
      <w:pPr>
        <w:pStyle w:val="14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《Q/GDW 644-2011 配网设备状态检修导则》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；</w:t>
      </w:r>
    </w:p>
    <w:p w14:paraId="1E7BF28F">
      <w:pPr>
        <w:pStyle w:val="14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《国家电网公司电力安全工作规程（变电部分）》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；</w:t>
      </w:r>
    </w:p>
    <w:p w14:paraId="5F3E6D13">
      <w:pPr>
        <w:pStyle w:val="14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《用电安全导则 GB/T 13869-2017》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；</w:t>
      </w:r>
    </w:p>
    <w:p w14:paraId="66E5DE59">
      <w:pPr>
        <w:pStyle w:val="14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《GB 50150-2016 电气装置安装工程电气设备交接试验标准》等</w:t>
      </w:r>
      <w:bookmarkEnd w:id="0"/>
      <w:bookmarkEnd w:id="1"/>
      <w:bookmarkEnd w:id="2"/>
      <w:bookmarkEnd w:id="3"/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国家标准。</w:t>
      </w:r>
    </w:p>
    <w:p w14:paraId="281E670E">
      <w:pPr>
        <w:pStyle w:val="14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482" w:firstLineChars="200"/>
        <w:textAlignment w:val="auto"/>
        <w:rPr>
          <w:rFonts w:hint="eastAsia" w:ascii="宋体" w:hAnsi="宋体" w:eastAsia="宋体" w:cs="宋体"/>
          <w:b/>
          <w:bCs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二、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工作</w:t>
      </w: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量内容和清单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 xml:space="preserve">         </w:t>
      </w:r>
    </w:p>
    <w:p w14:paraId="1CEF180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bookmarkStart w:id="4" w:name="_Toc287857273"/>
      <w:bookmarkStart w:id="5" w:name="_Toc131302416"/>
      <w:r>
        <w:rPr>
          <w:rFonts w:hint="eastAsia" w:ascii="宋体" w:hAnsi="宋体" w:eastAsia="宋体" w:cs="宋体"/>
          <w:sz w:val="24"/>
          <w:szCs w:val="24"/>
        </w:rPr>
        <w:t>1.预防性试验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和</w:t>
      </w:r>
      <w:r>
        <w:rPr>
          <w:rFonts w:hint="eastAsia" w:ascii="宋体" w:hAnsi="宋体" w:eastAsia="宋体" w:cs="宋体"/>
          <w:sz w:val="24"/>
          <w:szCs w:val="24"/>
        </w:rPr>
        <w:t>检修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工作量清单</w:t>
      </w:r>
    </w:p>
    <w:tbl>
      <w:tblPr>
        <w:tblStyle w:val="9"/>
        <w:tblW w:w="939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97"/>
        <w:gridCol w:w="2290"/>
        <w:gridCol w:w="1827"/>
        <w:gridCol w:w="1827"/>
        <w:gridCol w:w="2256"/>
      </w:tblGrid>
      <w:tr w14:paraId="5FA200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5" w:hRule="atLeast"/>
        </w:trPr>
        <w:tc>
          <w:tcPr>
            <w:tcW w:w="1197" w:type="dxa"/>
            <w:vAlign w:val="center"/>
          </w:tcPr>
          <w:p w14:paraId="4DE4E085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序号</w:t>
            </w:r>
          </w:p>
        </w:tc>
        <w:tc>
          <w:tcPr>
            <w:tcW w:w="2290" w:type="dxa"/>
            <w:vAlign w:val="center"/>
          </w:tcPr>
          <w:p w14:paraId="364560BD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设备名称</w:t>
            </w:r>
          </w:p>
        </w:tc>
        <w:tc>
          <w:tcPr>
            <w:tcW w:w="1827" w:type="dxa"/>
            <w:vAlign w:val="center"/>
          </w:tcPr>
          <w:p w14:paraId="4AB6C0B0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数量</w:t>
            </w:r>
          </w:p>
        </w:tc>
        <w:tc>
          <w:tcPr>
            <w:tcW w:w="1827" w:type="dxa"/>
            <w:vAlign w:val="center"/>
          </w:tcPr>
          <w:p w14:paraId="1884C2A5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单位</w:t>
            </w:r>
          </w:p>
        </w:tc>
        <w:tc>
          <w:tcPr>
            <w:tcW w:w="2256" w:type="dxa"/>
            <w:vAlign w:val="center"/>
          </w:tcPr>
          <w:p w14:paraId="0E7C0250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备注</w:t>
            </w:r>
          </w:p>
        </w:tc>
      </w:tr>
      <w:tr w14:paraId="4FEEF8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5" w:hRule="atLeast"/>
        </w:trPr>
        <w:tc>
          <w:tcPr>
            <w:tcW w:w="1197" w:type="dxa"/>
            <w:vAlign w:val="center"/>
          </w:tcPr>
          <w:p w14:paraId="66AF391D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</w:t>
            </w:r>
          </w:p>
        </w:tc>
        <w:tc>
          <w:tcPr>
            <w:tcW w:w="2290" w:type="dxa"/>
            <w:vAlign w:val="center"/>
          </w:tcPr>
          <w:p w14:paraId="36289BF1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变压器</w:t>
            </w:r>
          </w:p>
        </w:tc>
        <w:tc>
          <w:tcPr>
            <w:tcW w:w="1827" w:type="dxa"/>
            <w:vAlign w:val="center"/>
          </w:tcPr>
          <w:p w14:paraId="4F29C917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4</w:t>
            </w:r>
          </w:p>
        </w:tc>
        <w:tc>
          <w:tcPr>
            <w:tcW w:w="1827" w:type="dxa"/>
            <w:vAlign w:val="center"/>
          </w:tcPr>
          <w:p w14:paraId="11CA8458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台</w:t>
            </w:r>
          </w:p>
        </w:tc>
        <w:tc>
          <w:tcPr>
            <w:tcW w:w="2256" w:type="dxa"/>
            <w:vAlign w:val="center"/>
          </w:tcPr>
          <w:p w14:paraId="143E6207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1600KVA二台1000KVA二台</w:t>
            </w:r>
          </w:p>
        </w:tc>
      </w:tr>
      <w:tr w14:paraId="4E3ADD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5" w:hRule="atLeast"/>
        </w:trPr>
        <w:tc>
          <w:tcPr>
            <w:tcW w:w="1197" w:type="dxa"/>
            <w:vAlign w:val="center"/>
          </w:tcPr>
          <w:p w14:paraId="7AFE36B6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</w:t>
            </w:r>
          </w:p>
        </w:tc>
        <w:tc>
          <w:tcPr>
            <w:tcW w:w="2290" w:type="dxa"/>
            <w:vAlign w:val="center"/>
          </w:tcPr>
          <w:p w14:paraId="0AEC4A5A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进线计量柜</w:t>
            </w:r>
          </w:p>
        </w:tc>
        <w:tc>
          <w:tcPr>
            <w:tcW w:w="1827" w:type="dxa"/>
            <w:vAlign w:val="center"/>
          </w:tcPr>
          <w:p w14:paraId="01E3FC31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</w:t>
            </w:r>
          </w:p>
        </w:tc>
        <w:tc>
          <w:tcPr>
            <w:tcW w:w="1827" w:type="dxa"/>
            <w:vAlign w:val="center"/>
          </w:tcPr>
          <w:p w14:paraId="2EC78EB0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面</w:t>
            </w:r>
          </w:p>
        </w:tc>
        <w:tc>
          <w:tcPr>
            <w:tcW w:w="2256" w:type="dxa"/>
            <w:vMerge w:val="restart"/>
            <w:vAlign w:val="center"/>
          </w:tcPr>
          <w:p w14:paraId="790D8759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10kV</w:t>
            </w:r>
          </w:p>
        </w:tc>
      </w:tr>
      <w:tr w14:paraId="42BFC1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5" w:hRule="atLeast"/>
        </w:trPr>
        <w:tc>
          <w:tcPr>
            <w:tcW w:w="1197" w:type="dxa"/>
            <w:vAlign w:val="center"/>
          </w:tcPr>
          <w:p w14:paraId="4CDC8B1F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3</w:t>
            </w:r>
          </w:p>
        </w:tc>
        <w:tc>
          <w:tcPr>
            <w:tcW w:w="2290" w:type="dxa"/>
            <w:vAlign w:val="center"/>
          </w:tcPr>
          <w:p w14:paraId="5374F32A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进线柜</w:t>
            </w:r>
          </w:p>
        </w:tc>
        <w:tc>
          <w:tcPr>
            <w:tcW w:w="1827" w:type="dxa"/>
            <w:vAlign w:val="center"/>
          </w:tcPr>
          <w:p w14:paraId="38A6BE91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</w:t>
            </w:r>
          </w:p>
        </w:tc>
        <w:tc>
          <w:tcPr>
            <w:tcW w:w="1827" w:type="dxa"/>
            <w:vAlign w:val="center"/>
          </w:tcPr>
          <w:p w14:paraId="3B3AE92D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只</w:t>
            </w:r>
          </w:p>
        </w:tc>
        <w:tc>
          <w:tcPr>
            <w:tcW w:w="2256" w:type="dxa"/>
            <w:vMerge w:val="continue"/>
            <w:vAlign w:val="center"/>
          </w:tcPr>
          <w:p w14:paraId="10F0D180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0C2159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5" w:hRule="atLeast"/>
        </w:trPr>
        <w:tc>
          <w:tcPr>
            <w:tcW w:w="1197" w:type="dxa"/>
            <w:vAlign w:val="center"/>
          </w:tcPr>
          <w:p w14:paraId="2FA96B3E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4</w:t>
            </w:r>
          </w:p>
        </w:tc>
        <w:tc>
          <w:tcPr>
            <w:tcW w:w="2290" w:type="dxa"/>
            <w:vAlign w:val="center"/>
          </w:tcPr>
          <w:p w14:paraId="5CC695FE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压变柜</w:t>
            </w:r>
          </w:p>
        </w:tc>
        <w:tc>
          <w:tcPr>
            <w:tcW w:w="1827" w:type="dxa"/>
            <w:vAlign w:val="center"/>
          </w:tcPr>
          <w:p w14:paraId="493A3BD4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</w:t>
            </w:r>
          </w:p>
        </w:tc>
        <w:tc>
          <w:tcPr>
            <w:tcW w:w="1827" w:type="dxa"/>
            <w:vAlign w:val="center"/>
          </w:tcPr>
          <w:p w14:paraId="239D196E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只</w:t>
            </w:r>
          </w:p>
        </w:tc>
        <w:tc>
          <w:tcPr>
            <w:tcW w:w="2256" w:type="dxa"/>
            <w:vMerge w:val="continue"/>
            <w:vAlign w:val="center"/>
          </w:tcPr>
          <w:p w14:paraId="0A406C5A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78F61E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5" w:hRule="atLeast"/>
        </w:trPr>
        <w:tc>
          <w:tcPr>
            <w:tcW w:w="1197" w:type="dxa"/>
            <w:vAlign w:val="center"/>
          </w:tcPr>
          <w:p w14:paraId="3ECE5655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5</w:t>
            </w:r>
          </w:p>
        </w:tc>
        <w:tc>
          <w:tcPr>
            <w:tcW w:w="2290" w:type="dxa"/>
            <w:vAlign w:val="center"/>
          </w:tcPr>
          <w:p w14:paraId="428106E4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变压器出线柜</w:t>
            </w:r>
          </w:p>
        </w:tc>
        <w:tc>
          <w:tcPr>
            <w:tcW w:w="1827" w:type="dxa"/>
            <w:vAlign w:val="center"/>
          </w:tcPr>
          <w:p w14:paraId="1284D8F9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4</w:t>
            </w:r>
          </w:p>
        </w:tc>
        <w:tc>
          <w:tcPr>
            <w:tcW w:w="1827" w:type="dxa"/>
            <w:vAlign w:val="center"/>
          </w:tcPr>
          <w:p w14:paraId="75E64278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面</w:t>
            </w:r>
          </w:p>
        </w:tc>
        <w:tc>
          <w:tcPr>
            <w:tcW w:w="2256" w:type="dxa"/>
            <w:vMerge w:val="continue"/>
            <w:vAlign w:val="center"/>
          </w:tcPr>
          <w:p w14:paraId="2964CA2E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12EA2D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5" w:hRule="atLeast"/>
        </w:trPr>
        <w:tc>
          <w:tcPr>
            <w:tcW w:w="1197" w:type="dxa"/>
            <w:vAlign w:val="center"/>
          </w:tcPr>
          <w:p w14:paraId="55F0AEB0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2290" w:type="dxa"/>
            <w:vAlign w:val="center"/>
          </w:tcPr>
          <w:p w14:paraId="383F9A54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中压箱</w:t>
            </w:r>
          </w:p>
        </w:tc>
        <w:tc>
          <w:tcPr>
            <w:tcW w:w="1827" w:type="dxa"/>
            <w:vAlign w:val="center"/>
          </w:tcPr>
          <w:p w14:paraId="15DED147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827" w:type="dxa"/>
            <w:vAlign w:val="center"/>
          </w:tcPr>
          <w:p w14:paraId="30142D8B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只</w:t>
            </w:r>
          </w:p>
        </w:tc>
        <w:tc>
          <w:tcPr>
            <w:tcW w:w="2256" w:type="dxa"/>
            <w:vMerge w:val="continue"/>
            <w:vAlign w:val="center"/>
          </w:tcPr>
          <w:p w14:paraId="625F16AA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58CC55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5" w:hRule="atLeast"/>
        </w:trPr>
        <w:tc>
          <w:tcPr>
            <w:tcW w:w="1197" w:type="dxa"/>
            <w:vAlign w:val="center"/>
          </w:tcPr>
          <w:p w14:paraId="04CADE6E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2290" w:type="dxa"/>
            <w:vAlign w:val="center"/>
          </w:tcPr>
          <w:p w14:paraId="4B92D1BE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环网站</w:t>
            </w:r>
          </w:p>
        </w:tc>
        <w:tc>
          <w:tcPr>
            <w:tcW w:w="1827" w:type="dxa"/>
            <w:vAlign w:val="center"/>
          </w:tcPr>
          <w:p w14:paraId="56C62353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827" w:type="dxa"/>
            <w:vAlign w:val="center"/>
          </w:tcPr>
          <w:p w14:paraId="6C338979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座</w:t>
            </w:r>
          </w:p>
        </w:tc>
        <w:tc>
          <w:tcPr>
            <w:tcW w:w="2256" w:type="dxa"/>
            <w:vMerge w:val="continue"/>
            <w:vAlign w:val="center"/>
          </w:tcPr>
          <w:p w14:paraId="5C32788C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3009D2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5" w:hRule="atLeast"/>
        </w:trPr>
        <w:tc>
          <w:tcPr>
            <w:tcW w:w="1197" w:type="dxa"/>
            <w:vAlign w:val="center"/>
          </w:tcPr>
          <w:p w14:paraId="5BE58409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2290" w:type="dxa"/>
            <w:vAlign w:val="center"/>
          </w:tcPr>
          <w:p w14:paraId="2507B03A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配电房内电缆</w:t>
            </w:r>
          </w:p>
        </w:tc>
        <w:tc>
          <w:tcPr>
            <w:tcW w:w="1827" w:type="dxa"/>
            <w:vAlign w:val="center"/>
          </w:tcPr>
          <w:p w14:paraId="2B47B2A9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现场实际</w:t>
            </w:r>
          </w:p>
        </w:tc>
        <w:tc>
          <w:tcPr>
            <w:tcW w:w="1827" w:type="dxa"/>
            <w:vAlign w:val="center"/>
          </w:tcPr>
          <w:p w14:paraId="07BE5CCE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米</w:t>
            </w:r>
          </w:p>
        </w:tc>
        <w:tc>
          <w:tcPr>
            <w:tcW w:w="2256" w:type="dxa"/>
            <w:vMerge w:val="continue"/>
            <w:vAlign w:val="center"/>
          </w:tcPr>
          <w:p w14:paraId="39E1C4BE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0A48DA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5" w:hRule="atLeast"/>
        </w:trPr>
        <w:tc>
          <w:tcPr>
            <w:tcW w:w="1197" w:type="dxa"/>
            <w:vAlign w:val="center"/>
          </w:tcPr>
          <w:p w14:paraId="54785127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2290" w:type="dxa"/>
            <w:vAlign w:val="center"/>
          </w:tcPr>
          <w:p w14:paraId="2B35F620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东郊变电站至医院专线电缆</w:t>
            </w:r>
          </w:p>
        </w:tc>
        <w:tc>
          <w:tcPr>
            <w:tcW w:w="1827" w:type="dxa"/>
            <w:vAlign w:val="center"/>
          </w:tcPr>
          <w:p w14:paraId="61D35202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2500（具体以现场实际为准）</w:t>
            </w:r>
          </w:p>
        </w:tc>
        <w:tc>
          <w:tcPr>
            <w:tcW w:w="1827" w:type="dxa"/>
            <w:vAlign w:val="center"/>
          </w:tcPr>
          <w:p w14:paraId="06040199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米</w:t>
            </w:r>
          </w:p>
        </w:tc>
        <w:tc>
          <w:tcPr>
            <w:tcW w:w="2256" w:type="dxa"/>
            <w:vMerge w:val="continue"/>
            <w:vAlign w:val="center"/>
          </w:tcPr>
          <w:p w14:paraId="4A0BEF61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5336CE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5" w:hRule="atLeast"/>
        </w:trPr>
        <w:tc>
          <w:tcPr>
            <w:tcW w:w="1197" w:type="dxa"/>
            <w:vAlign w:val="center"/>
          </w:tcPr>
          <w:p w14:paraId="1D7E39EB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2290" w:type="dxa"/>
            <w:vAlign w:val="center"/>
          </w:tcPr>
          <w:p w14:paraId="7769885F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南常E54线三院支线电缆</w:t>
            </w:r>
          </w:p>
        </w:tc>
        <w:tc>
          <w:tcPr>
            <w:tcW w:w="1827" w:type="dxa"/>
            <w:vAlign w:val="center"/>
          </w:tcPr>
          <w:p w14:paraId="62CEB166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2000（具体以现场实际为准）</w:t>
            </w:r>
          </w:p>
        </w:tc>
        <w:tc>
          <w:tcPr>
            <w:tcW w:w="1827" w:type="dxa"/>
            <w:vAlign w:val="center"/>
          </w:tcPr>
          <w:p w14:paraId="4B803DC8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米</w:t>
            </w:r>
          </w:p>
        </w:tc>
        <w:tc>
          <w:tcPr>
            <w:tcW w:w="2256" w:type="dxa"/>
            <w:vAlign w:val="center"/>
          </w:tcPr>
          <w:p w14:paraId="446B9110"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10KV</w:t>
            </w:r>
          </w:p>
        </w:tc>
      </w:tr>
    </w:tbl>
    <w:p w14:paraId="16253646">
      <w:pPr>
        <w:pStyle w:val="13"/>
        <w:pageBreakBefore w:val="0"/>
        <w:kinsoku/>
        <w:wordWrap/>
        <w:topLinePunct w:val="0"/>
        <w:bidi w:val="0"/>
        <w:adjustRightInd/>
        <w:snapToGrid/>
        <w:spacing w:line="600" w:lineRule="exact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</w:rPr>
      </w:pPr>
    </w:p>
    <w:p w14:paraId="29A973B3">
      <w:pPr>
        <w:pStyle w:val="13"/>
        <w:pageBreakBefore w:val="0"/>
        <w:kinsoku/>
        <w:wordWrap/>
        <w:topLinePunct w:val="0"/>
        <w:bidi w:val="0"/>
        <w:adjustRightInd/>
        <w:snapToGrid/>
        <w:spacing w:line="600" w:lineRule="exact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2.试验、检修内容</w:t>
      </w:r>
    </w:p>
    <w:tbl>
      <w:tblPr>
        <w:tblStyle w:val="9"/>
        <w:tblpPr w:leftFromText="180" w:rightFromText="180" w:vertAnchor="text" w:horzAnchor="page" w:tblpX="1507" w:tblpY="500"/>
        <w:tblOverlap w:val="never"/>
        <w:tblW w:w="956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9"/>
        <w:gridCol w:w="1286"/>
        <w:gridCol w:w="6490"/>
        <w:gridCol w:w="968"/>
      </w:tblGrid>
      <w:tr w14:paraId="71C650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819" w:type="dxa"/>
            <w:vAlign w:val="center"/>
          </w:tcPr>
          <w:p w14:paraId="67BE6C99">
            <w:pPr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序号</w:t>
            </w:r>
          </w:p>
        </w:tc>
        <w:tc>
          <w:tcPr>
            <w:tcW w:w="1286" w:type="dxa"/>
            <w:vAlign w:val="center"/>
          </w:tcPr>
          <w:p w14:paraId="40E71156">
            <w:pPr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设备名称</w:t>
            </w:r>
          </w:p>
        </w:tc>
        <w:tc>
          <w:tcPr>
            <w:tcW w:w="6490" w:type="dxa"/>
          </w:tcPr>
          <w:p w14:paraId="47204BC5">
            <w:pPr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检修内容及标准</w:t>
            </w:r>
          </w:p>
        </w:tc>
        <w:tc>
          <w:tcPr>
            <w:tcW w:w="968" w:type="dxa"/>
            <w:vAlign w:val="center"/>
          </w:tcPr>
          <w:p w14:paraId="128E1D46">
            <w:pPr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备注</w:t>
            </w:r>
          </w:p>
        </w:tc>
      </w:tr>
      <w:tr w14:paraId="790FCD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83" w:hRule="atLeast"/>
        </w:trPr>
        <w:tc>
          <w:tcPr>
            <w:tcW w:w="819" w:type="dxa"/>
            <w:vAlign w:val="center"/>
          </w:tcPr>
          <w:p w14:paraId="46088377">
            <w:pPr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</w:t>
            </w:r>
          </w:p>
        </w:tc>
        <w:tc>
          <w:tcPr>
            <w:tcW w:w="1286" w:type="dxa"/>
            <w:vAlign w:val="center"/>
          </w:tcPr>
          <w:p w14:paraId="3DC31761">
            <w:pPr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变压器</w:t>
            </w:r>
          </w:p>
        </w:tc>
        <w:tc>
          <w:tcPr>
            <w:tcW w:w="6490" w:type="dxa"/>
          </w:tcPr>
          <w:p w14:paraId="78B212CD"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变压器高、低压套管及穿墙套管表面清洁，无破损裂纹、无放电痕迹；</w:t>
            </w:r>
          </w:p>
          <w:p w14:paraId="5F77EED6"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变压器引线接头，母线及桥架无发热现象；</w:t>
            </w:r>
          </w:p>
          <w:p w14:paraId="0BC71E0C"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电气连接点螺栓检查、紧固，接触面处理；</w:t>
            </w:r>
          </w:p>
          <w:p w14:paraId="3170177F"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变压器预防性试验，本体信号回路校验；</w:t>
            </w:r>
          </w:p>
          <w:p w14:paraId="7BE56F60"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变压器出线柜继电保护试验。</w:t>
            </w:r>
          </w:p>
          <w:p w14:paraId="530B2E8C"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电缆搭接面检查、清灰，用酒精清洗；</w:t>
            </w:r>
          </w:p>
          <w:p w14:paraId="463751C7"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变压器整体清灰、防腐。</w:t>
            </w:r>
          </w:p>
          <w:p w14:paraId="0DEC00B7"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变压器端子箱二次端子检查、清灰、紧固；</w:t>
            </w:r>
          </w:p>
          <w:p w14:paraId="679FA35E"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变压器二次保护、预告信号回路绝缘检查。</w:t>
            </w:r>
          </w:p>
        </w:tc>
        <w:tc>
          <w:tcPr>
            <w:tcW w:w="968" w:type="dxa"/>
            <w:vAlign w:val="center"/>
          </w:tcPr>
          <w:p w14:paraId="7B6FD37A">
            <w:pPr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1C80CF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74" w:hRule="atLeast"/>
        </w:trPr>
        <w:tc>
          <w:tcPr>
            <w:tcW w:w="819" w:type="dxa"/>
            <w:vAlign w:val="center"/>
          </w:tcPr>
          <w:p w14:paraId="37DD4CF7">
            <w:pPr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</w:t>
            </w:r>
          </w:p>
        </w:tc>
        <w:tc>
          <w:tcPr>
            <w:tcW w:w="1286" w:type="dxa"/>
            <w:vAlign w:val="center"/>
          </w:tcPr>
          <w:p w14:paraId="68F79D8E">
            <w:pPr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开关柜</w:t>
            </w:r>
          </w:p>
        </w:tc>
        <w:tc>
          <w:tcPr>
            <w:tcW w:w="6490" w:type="dxa"/>
          </w:tcPr>
          <w:p w14:paraId="636FB921"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真空断路器真空度校验（断路器断口耐压试验）；断路器动作特性试验；</w:t>
            </w:r>
          </w:p>
          <w:p w14:paraId="09B800AB"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断路器本体分合闸指示检查；</w:t>
            </w:r>
          </w:p>
          <w:p w14:paraId="2DA63418"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引线接头、母线无发热现象；</w:t>
            </w:r>
          </w:p>
          <w:p w14:paraId="3C5694BB"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各部位螺栓检查、紧固，防腐处理</w:t>
            </w:r>
          </w:p>
          <w:p w14:paraId="65213F61"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断路器动静触头检查，无发热情况；动静触头啮合情况检查，酌情调整；</w:t>
            </w:r>
          </w:p>
          <w:p w14:paraId="4A5A80B4"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各传动部位检查，酌情润滑；</w:t>
            </w:r>
          </w:p>
          <w:p w14:paraId="794A1290"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开关柜五防装置检查，酌情调整；</w:t>
            </w:r>
          </w:p>
          <w:p w14:paraId="170D2BCC"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开关柜地刀检查，酌情调整；</w:t>
            </w:r>
          </w:p>
          <w:p w14:paraId="479B7B8E"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负荷较大的开关柜需测试开关柜回路电阻及断路器接触电阻；</w:t>
            </w:r>
          </w:p>
          <w:p w14:paraId="3FF39C2A"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进线柜、压变柜继电保护试验。</w:t>
            </w:r>
          </w:p>
        </w:tc>
        <w:tc>
          <w:tcPr>
            <w:tcW w:w="968" w:type="dxa"/>
            <w:vAlign w:val="center"/>
          </w:tcPr>
          <w:p w14:paraId="591E5BC9">
            <w:pPr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1291E7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18" w:hRule="atLeast"/>
        </w:trPr>
        <w:tc>
          <w:tcPr>
            <w:tcW w:w="819" w:type="dxa"/>
            <w:vAlign w:val="center"/>
          </w:tcPr>
          <w:p w14:paraId="101545B2">
            <w:pPr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3</w:t>
            </w:r>
          </w:p>
        </w:tc>
        <w:tc>
          <w:tcPr>
            <w:tcW w:w="1286" w:type="dxa"/>
            <w:vAlign w:val="center"/>
          </w:tcPr>
          <w:p w14:paraId="2D5662E2">
            <w:pPr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母线</w:t>
            </w:r>
          </w:p>
        </w:tc>
        <w:tc>
          <w:tcPr>
            <w:tcW w:w="6490" w:type="dxa"/>
          </w:tcPr>
          <w:p w14:paraId="6556A35A"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母线检查、相色漆正常，无开裂、无起层和变色，各部粘贴的示温蜡片无融化现象；</w:t>
            </w:r>
          </w:p>
          <w:p w14:paraId="40978B2B"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支持绝缘子检查、清灰，无裂纹；</w:t>
            </w:r>
          </w:p>
          <w:p w14:paraId="69C196DC"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母线上各个连接部分的螺栓压接正常，无松动、无过热、无放电等现象；</w:t>
            </w:r>
          </w:p>
          <w:p w14:paraId="272330C0"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母线工作结束后测试母线绝缘电阻。</w:t>
            </w:r>
          </w:p>
          <w:p w14:paraId="5AC63DA0"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母线交流耐压试验（根据用户需要选做）。</w:t>
            </w:r>
          </w:p>
        </w:tc>
        <w:tc>
          <w:tcPr>
            <w:tcW w:w="968" w:type="dxa"/>
            <w:vAlign w:val="center"/>
          </w:tcPr>
          <w:p w14:paraId="4389844D">
            <w:pPr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49B1E1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18" w:hRule="atLeast"/>
        </w:trPr>
        <w:tc>
          <w:tcPr>
            <w:tcW w:w="819" w:type="dxa"/>
            <w:vAlign w:val="center"/>
          </w:tcPr>
          <w:p w14:paraId="0090C788">
            <w:pPr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4</w:t>
            </w:r>
          </w:p>
        </w:tc>
        <w:tc>
          <w:tcPr>
            <w:tcW w:w="1286" w:type="dxa"/>
            <w:vAlign w:val="center"/>
          </w:tcPr>
          <w:p w14:paraId="57548BAC">
            <w:pPr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压变柜</w:t>
            </w:r>
          </w:p>
        </w:tc>
        <w:tc>
          <w:tcPr>
            <w:tcW w:w="6490" w:type="dxa"/>
          </w:tcPr>
          <w:p w14:paraId="45FD9355"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互感器内油位、油味正常，外皮清洁，无渗漏油；</w:t>
            </w:r>
          </w:p>
          <w:p w14:paraId="6819FF54"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瓷质部分无破损，无裂纹、无放电闪络痕迹；</w:t>
            </w:r>
          </w:p>
          <w:p w14:paraId="12332B6C"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高、低压保险测量，接触良好，无短路和断路现象；</w:t>
            </w:r>
          </w:p>
          <w:p w14:paraId="29738AC9"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接地线良好，各部连接牢固，无松动，无过热现象；</w:t>
            </w:r>
          </w:p>
          <w:p w14:paraId="64096923"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二次小线检查、清灰，紧固；</w:t>
            </w:r>
          </w:p>
          <w:p w14:paraId="0AE6ABE8"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预防性试验。</w:t>
            </w:r>
          </w:p>
        </w:tc>
        <w:tc>
          <w:tcPr>
            <w:tcW w:w="968" w:type="dxa"/>
            <w:vAlign w:val="center"/>
          </w:tcPr>
          <w:p w14:paraId="7C450436">
            <w:pPr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137831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15" w:hRule="atLeast"/>
        </w:trPr>
        <w:tc>
          <w:tcPr>
            <w:tcW w:w="819" w:type="dxa"/>
            <w:vAlign w:val="center"/>
          </w:tcPr>
          <w:p w14:paraId="1FCB4D50">
            <w:pPr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5</w:t>
            </w:r>
          </w:p>
        </w:tc>
        <w:tc>
          <w:tcPr>
            <w:tcW w:w="1286" w:type="dxa"/>
            <w:vAlign w:val="center"/>
          </w:tcPr>
          <w:p w14:paraId="5CB9CB37">
            <w:pPr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电缆</w:t>
            </w:r>
          </w:p>
        </w:tc>
        <w:tc>
          <w:tcPr>
            <w:tcW w:w="6490" w:type="dxa"/>
          </w:tcPr>
          <w:p w14:paraId="3A193CF7"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电缆头外观检查，无放电、开裂等现象；</w:t>
            </w:r>
          </w:p>
          <w:p w14:paraId="53EFD9DD"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搭接点检查、清灰、紧固，连接正常，无松动、无过热现象，并用专用绝缘清洁剂处理；</w:t>
            </w:r>
          </w:p>
          <w:p w14:paraId="559E4DF8"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电缆绝缘电阻测试。</w:t>
            </w:r>
          </w:p>
        </w:tc>
        <w:tc>
          <w:tcPr>
            <w:tcW w:w="968" w:type="dxa"/>
            <w:vAlign w:val="center"/>
          </w:tcPr>
          <w:p w14:paraId="5760C691">
            <w:pPr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435E9A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15" w:hRule="atLeast"/>
        </w:trPr>
        <w:tc>
          <w:tcPr>
            <w:tcW w:w="819" w:type="dxa"/>
            <w:vAlign w:val="center"/>
          </w:tcPr>
          <w:p w14:paraId="0A0D6C47">
            <w:pPr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6</w:t>
            </w:r>
          </w:p>
        </w:tc>
        <w:tc>
          <w:tcPr>
            <w:tcW w:w="1286" w:type="dxa"/>
            <w:vAlign w:val="center"/>
          </w:tcPr>
          <w:p w14:paraId="10617AED">
            <w:pPr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避雷器</w:t>
            </w:r>
          </w:p>
        </w:tc>
        <w:tc>
          <w:tcPr>
            <w:tcW w:w="6490" w:type="dxa"/>
          </w:tcPr>
          <w:p w14:paraId="59D7E488"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避雷器本体检查、瓷质清洁、完整无损、无闪络痕迹；</w:t>
            </w:r>
          </w:p>
          <w:p w14:paraId="5DCB49B3"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导线、接地引下线检查，接触良好、不锈蚀、无烧伤痕迹；</w:t>
            </w:r>
          </w:p>
          <w:p w14:paraId="6FE3B567"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放电记录器检查、校验、动作指示正确；</w:t>
            </w:r>
          </w:p>
          <w:p w14:paraId="28A8AFB2"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避雷器预防性试验。</w:t>
            </w:r>
          </w:p>
        </w:tc>
        <w:tc>
          <w:tcPr>
            <w:tcW w:w="968" w:type="dxa"/>
            <w:vAlign w:val="center"/>
          </w:tcPr>
          <w:p w14:paraId="2D99A332">
            <w:pPr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564A15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15" w:hRule="atLeast"/>
        </w:trPr>
        <w:tc>
          <w:tcPr>
            <w:tcW w:w="819" w:type="dxa"/>
            <w:vAlign w:val="center"/>
          </w:tcPr>
          <w:p w14:paraId="25769D60">
            <w:pPr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7</w:t>
            </w:r>
          </w:p>
        </w:tc>
        <w:tc>
          <w:tcPr>
            <w:tcW w:w="1286" w:type="dxa"/>
            <w:vAlign w:val="center"/>
          </w:tcPr>
          <w:p w14:paraId="605060D1">
            <w:pPr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中压箱</w:t>
            </w:r>
          </w:p>
          <w:p w14:paraId="3A182F6D">
            <w:pPr>
              <w:pStyle w:val="2"/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环网站</w:t>
            </w:r>
          </w:p>
        </w:tc>
        <w:tc>
          <w:tcPr>
            <w:tcW w:w="6490" w:type="dxa"/>
          </w:tcPr>
          <w:p w14:paraId="6272DB71"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箱内表面清灰，用专用绝缘清洁剂处理；</w:t>
            </w:r>
          </w:p>
          <w:p w14:paraId="31CF084F"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接地装置检修、紧固；</w:t>
            </w:r>
          </w:p>
          <w:p w14:paraId="0BA5AE37"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箱内湿度检查、腐蚀情况检查，酌情防腐；</w:t>
            </w:r>
          </w:p>
          <w:p w14:paraId="6456DCFE"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箱体外观及内部检查，酌情加固；</w:t>
            </w:r>
          </w:p>
          <w:p w14:paraId="245C7E35"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电缆绝缘电阻测试；</w:t>
            </w:r>
          </w:p>
          <w:p w14:paraId="181A8438"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电缆外观检查；</w:t>
            </w:r>
          </w:p>
          <w:p w14:paraId="26798218"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箱内防小动物措施检查，用防火泡泥封堵。</w:t>
            </w:r>
          </w:p>
        </w:tc>
        <w:tc>
          <w:tcPr>
            <w:tcW w:w="968" w:type="dxa"/>
            <w:vAlign w:val="center"/>
          </w:tcPr>
          <w:p w14:paraId="215D79FD">
            <w:pPr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5只</w:t>
            </w:r>
          </w:p>
        </w:tc>
      </w:tr>
      <w:bookmarkEnd w:id="4"/>
      <w:bookmarkEnd w:id="5"/>
    </w:tbl>
    <w:p w14:paraId="6589D444">
      <w:pPr>
        <w:pStyle w:val="4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2" w:firstLineChars="200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三．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维护</w:t>
      </w:r>
      <w:r>
        <w:rPr>
          <w:rFonts w:hint="eastAsia" w:ascii="宋体" w:hAnsi="宋体" w:eastAsia="宋体" w:cs="宋体"/>
          <w:sz w:val="24"/>
          <w:szCs w:val="24"/>
        </w:rPr>
        <w:t>验收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标准</w:t>
      </w:r>
    </w:p>
    <w:p w14:paraId="0D8C97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sz w:val="24"/>
          <w:szCs w:val="24"/>
        </w:rPr>
        <w:t>检查维护记录，确认维护内容是否均完成，无遗漏项。</w:t>
      </w:r>
    </w:p>
    <w:p w14:paraId="627BF4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2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.</w:t>
      </w:r>
      <w:r>
        <w:rPr>
          <w:rFonts w:hint="eastAsia" w:ascii="宋体" w:hAnsi="宋体" w:eastAsia="宋体" w:cs="宋体"/>
          <w:sz w:val="24"/>
          <w:szCs w:val="24"/>
        </w:rPr>
        <w:t>确认工作现场是否整洁，是否存留物件等。</w:t>
      </w:r>
    </w:p>
    <w:p w14:paraId="175234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3.</w:t>
      </w:r>
      <w:r>
        <w:rPr>
          <w:rFonts w:hint="eastAsia" w:ascii="宋体" w:hAnsi="宋体" w:eastAsia="宋体" w:cs="宋体"/>
          <w:sz w:val="24"/>
          <w:szCs w:val="24"/>
        </w:rPr>
        <w:t>电气的接零、接地可靠。 </w:t>
      </w:r>
    </w:p>
    <w:p w14:paraId="64E81A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4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.</w:t>
      </w:r>
      <w:r>
        <w:rPr>
          <w:rFonts w:hint="eastAsia" w:ascii="宋体" w:hAnsi="宋体" w:eastAsia="宋体" w:cs="宋体"/>
          <w:sz w:val="24"/>
          <w:szCs w:val="24"/>
        </w:rPr>
        <w:t>电气的连接线排列整齐、美观。</w:t>
      </w:r>
    </w:p>
    <w:p w14:paraId="1B6683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5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.</w:t>
      </w:r>
      <w:r>
        <w:rPr>
          <w:rFonts w:hint="eastAsia" w:ascii="宋体" w:hAnsi="宋体" w:eastAsia="宋体" w:cs="宋体"/>
          <w:sz w:val="24"/>
          <w:szCs w:val="24"/>
        </w:rPr>
        <w:t>绝缘电阻值符合要求。 </w:t>
      </w:r>
    </w:p>
    <w:p w14:paraId="52CAC2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6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.</w:t>
      </w:r>
      <w:r>
        <w:rPr>
          <w:rFonts w:hint="eastAsia" w:ascii="宋体" w:hAnsi="宋体" w:eastAsia="宋体" w:cs="宋体"/>
          <w:sz w:val="24"/>
          <w:szCs w:val="24"/>
        </w:rPr>
        <w:t>活动部件动作灵活、可靠，联锁传动装置动作正确。 </w:t>
      </w:r>
    </w:p>
    <w:p w14:paraId="2873B7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7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.</w:t>
      </w:r>
      <w:r>
        <w:rPr>
          <w:rFonts w:hint="eastAsia" w:ascii="宋体" w:hAnsi="宋体" w:eastAsia="宋体" w:cs="宋体"/>
          <w:sz w:val="24"/>
          <w:szCs w:val="24"/>
        </w:rPr>
        <w:t>标志齐全完好、字迹清晰。</w:t>
      </w:r>
    </w:p>
    <w:p w14:paraId="2F7A8F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8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.</w:t>
      </w:r>
      <w:r>
        <w:rPr>
          <w:rFonts w:hint="eastAsia" w:ascii="宋体" w:hAnsi="宋体" w:eastAsia="宋体" w:cs="宋体"/>
          <w:sz w:val="24"/>
          <w:szCs w:val="24"/>
        </w:rPr>
        <w:t>电气的外观检查完好，绝缘器件无裂纹。</w:t>
      </w:r>
    </w:p>
    <w:p w14:paraId="547C05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9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.</w:t>
      </w:r>
      <w:r>
        <w:rPr>
          <w:rFonts w:hint="eastAsia" w:ascii="宋体" w:hAnsi="宋体" w:eastAsia="宋体" w:cs="宋体"/>
          <w:sz w:val="24"/>
          <w:szCs w:val="24"/>
        </w:rPr>
        <w:t>维护记录齐全、准确，按规定办理验收手续。 </w:t>
      </w:r>
    </w:p>
    <w:p w14:paraId="5AEF6D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10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.</w:t>
      </w:r>
      <w:r>
        <w:rPr>
          <w:rFonts w:hint="eastAsia" w:ascii="宋体" w:hAnsi="宋体" w:eastAsia="宋体" w:cs="宋体"/>
          <w:sz w:val="24"/>
          <w:szCs w:val="24"/>
        </w:rPr>
        <w:t>维护结束，各运行参数符合标准，投入使用。 </w:t>
      </w:r>
    </w:p>
    <w:p w14:paraId="72E3B6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11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.</w:t>
      </w:r>
      <w:r>
        <w:rPr>
          <w:rFonts w:hint="eastAsia" w:ascii="宋体" w:hAnsi="宋体" w:eastAsia="宋体" w:cs="宋体"/>
          <w:sz w:val="24"/>
          <w:szCs w:val="24"/>
        </w:rPr>
        <w:t>通电后，设备运行正常，无异常声音、异味等。 </w:t>
      </w:r>
    </w:p>
    <w:p w14:paraId="785B000A">
      <w:pPr>
        <w:pStyle w:val="4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2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四、服务支持 </w:t>
      </w:r>
    </w:p>
    <w:p w14:paraId="230021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sz w:val="24"/>
          <w:szCs w:val="24"/>
        </w:rPr>
        <w:t>电话支持服务 </w:t>
      </w:r>
    </w:p>
    <w:p w14:paraId="2A9797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院方</w:t>
      </w:r>
      <w:r>
        <w:rPr>
          <w:rFonts w:hint="eastAsia" w:ascii="宋体" w:hAnsi="宋体" w:eastAsia="宋体" w:cs="宋体"/>
          <w:sz w:val="24"/>
          <w:szCs w:val="24"/>
        </w:rPr>
        <w:t>对于临时出现的使用、操作和其他非故障类问题，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服务方</w:t>
      </w:r>
      <w:r>
        <w:rPr>
          <w:rFonts w:hint="eastAsia" w:ascii="宋体" w:hAnsi="宋体" w:eastAsia="宋体" w:cs="宋体"/>
          <w:sz w:val="24"/>
          <w:szCs w:val="24"/>
        </w:rPr>
        <w:t>提供7×24小时电话支持服务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12FCF2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2.</w:t>
      </w:r>
      <w:r>
        <w:rPr>
          <w:rFonts w:hint="eastAsia" w:ascii="宋体" w:hAnsi="宋体" w:eastAsia="宋体" w:cs="宋体"/>
          <w:sz w:val="24"/>
          <w:szCs w:val="24"/>
        </w:rPr>
        <w:t>现场技术服务 </w:t>
      </w:r>
    </w:p>
    <w:p w14:paraId="3927AF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医院</w:t>
      </w:r>
      <w:r>
        <w:rPr>
          <w:rFonts w:hint="eastAsia" w:ascii="宋体" w:hAnsi="宋体" w:eastAsia="宋体" w:cs="宋体"/>
          <w:sz w:val="24"/>
          <w:szCs w:val="24"/>
        </w:rPr>
        <w:t>设备发生故障或停电等非正常情况，承诺半小时内到达现场进行维修。如需更换备件，保证备品备件更换后的功能适用性。</w:t>
      </w:r>
    </w:p>
    <w:p w14:paraId="32040246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left="0" w:leftChars="0"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3.资质要求</w:t>
      </w:r>
    </w:p>
    <w:p w14:paraId="5DF9EF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作业人员须持有效高压电工证，试验负责人需具备5年以上相关经验。</w:t>
      </w:r>
    </w:p>
    <w:p w14:paraId="0B9960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sz w:val="24"/>
          <w:szCs w:val="24"/>
        </w:rPr>
        <w:t>年度维保电气服务</w:t>
      </w:r>
    </w:p>
    <w:p w14:paraId="562EED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年度维保电器服务主要内容如下：</w:t>
      </w:r>
    </w:p>
    <w:p w14:paraId="5AA6EB9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4.1专线和支线</w:t>
      </w:r>
      <w:r>
        <w:rPr>
          <w:rFonts w:hint="eastAsia" w:ascii="宋体" w:hAnsi="宋体" w:eastAsia="宋体" w:cs="宋体"/>
          <w:sz w:val="24"/>
          <w:szCs w:val="24"/>
        </w:rPr>
        <w:t>电缆及中压箱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、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环网站</w:t>
      </w:r>
      <w:r>
        <w:rPr>
          <w:rFonts w:hint="eastAsia" w:ascii="宋体" w:hAnsi="宋体" w:eastAsia="宋体" w:cs="宋体"/>
          <w:sz w:val="24"/>
          <w:szCs w:val="24"/>
        </w:rPr>
        <w:t>的日常巡检， 2次/月；由专业电气工程师利用专业的仪器设备，对电气运行情况进行检测，并进行评估，及时发现设备缺陷、隐患，并有效处理，避免造成事故，使用户蒙受较大经济损失。</w:t>
      </w:r>
    </w:p>
    <w:p w14:paraId="703D5A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4</w:t>
      </w:r>
      <w:r>
        <w:rPr>
          <w:rFonts w:hint="eastAsia" w:ascii="宋体" w:hAnsi="宋体" w:eastAsia="宋体" w:cs="宋体"/>
          <w:sz w:val="24"/>
          <w:szCs w:val="24"/>
        </w:rPr>
        <w:t>.2高温期、台风期、冰冻期、高负荷期的特殊性巡视，酌情增加。</w:t>
      </w:r>
    </w:p>
    <w:p w14:paraId="183D7681">
      <w:pPr>
        <w:rPr>
          <w:rFonts w:hint="eastAsia" w:ascii="仿宋" w:hAnsi="仿宋" w:eastAsia="仿宋" w:cs="仿宋"/>
          <w:sz w:val="24"/>
          <w:szCs w:val="24"/>
          <w:lang w:val="en-US" w:eastAsia="zh-CN"/>
        </w:rPr>
      </w:pPr>
    </w:p>
    <w:sectPr>
      <w:pgSz w:w="11906" w:h="16838"/>
      <w:pgMar w:top="1644" w:right="1701" w:bottom="1644" w:left="1701" w:header="851" w:footer="992" w:gutter="0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1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7981DF3"/>
    <w:multiLevelType w:val="singleLevel"/>
    <w:tmpl w:val="57981DF3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CF45DB"/>
    <w:rsid w:val="099D30E8"/>
    <w:rsid w:val="0AAC2325"/>
    <w:rsid w:val="11FC3312"/>
    <w:rsid w:val="173179DF"/>
    <w:rsid w:val="18A341EC"/>
    <w:rsid w:val="19902E0F"/>
    <w:rsid w:val="1A650276"/>
    <w:rsid w:val="1B6C0ABC"/>
    <w:rsid w:val="1C081699"/>
    <w:rsid w:val="20102ECB"/>
    <w:rsid w:val="21484B76"/>
    <w:rsid w:val="2464170D"/>
    <w:rsid w:val="258506E3"/>
    <w:rsid w:val="262F042B"/>
    <w:rsid w:val="27FA04F4"/>
    <w:rsid w:val="2A875B79"/>
    <w:rsid w:val="2DA97706"/>
    <w:rsid w:val="327B6A49"/>
    <w:rsid w:val="333F218B"/>
    <w:rsid w:val="356E1970"/>
    <w:rsid w:val="3983710D"/>
    <w:rsid w:val="3AF71C99"/>
    <w:rsid w:val="3C50534D"/>
    <w:rsid w:val="41757D3C"/>
    <w:rsid w:val="420D7BF3"/>
    <w:rsid w:val="423F5C8E"/>
    <w:rsid w:val="43811926"/>
    <w:rsid w:val="4506274C"/>
    <w:rsid w:val="49583AEE"/>
    <w:rsid w:val="50745D1E"/>
    <w:rsid w:val="522C37CC"/>
    <w:rsid w:val="53C10441"/>
    <w:rsid w:val="5432301F"/>
    <w:rsid w:val="54BD5B87"/>
    <w:rsid w:val="56415EBF"/>
    <w:rsid w:val="58346111"/>
    <w:rsid w:val="59BA7AE5"/>
    <w:rsid w:val="5B4E1F51"/>
    <w:rsid w:val="5B4F4400"/>
    <w:rsid w:val="5CB003E4"/>
    <w:rsid w:val="61992A1A"/>
    <w:rsid w:val="619B51A8"/>
    <w:rsid w:val="629B3C41"/>
    <w:rsid w:val="64043FF9"/>
    <w:rsid w:val="66E1145E"/>
    <w:rsid w:val="6B5F2FAF"/>
    <w:rsid w:val="6CA009C7"/>
    <w:rsid w:val="6DC408FA"/>
    <w:rsid w:val="70E06D12"/>
    <w:rsid w:val="73CF7CC5"/>
    <w:rsid w:val="74FE1BB3"/>
    <w:rsid w:val="75614C76"/>
    <w:rsid w:val="757E289B"/>
    <w:rsid w:val="758305D9"/>
    <w:rsid w:val="76996376"/>
    <w:rsid w:val="7B9217DE"/>
    <w:rsid w:val="7D6E44D1"/>
    <w:rsid w:val="7DB36BD3"/>
    <w:rsid w:val="7EFA61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宋体"/>
      <w:sz w:val="21"/>
      <w:szCs w:val="21"/>
      <w:lang w:val="en-US" w:eastAsia="zh-CN" w:bidi="ar-SA"/>
    </w:rPr>
  </w:style>
  <w:style w:type="paragraph" w:styleId="4">
    <w:name w:val="heading 2"/>
    <w:basedOn w:val="1"/>
    <w:next w:val="1"/>
    <w:qFormat/>
    <w:uiPriority w:val="99"/>
    <w:pPr>
      <w:keepNext/>
      <w:keepLines/>
      <w:adjustRightInd/>
      <w:spacing w:line="360" w:lineRule="auto"/>
      <w:jc w:val="both"/>
      <w:textAlignment w:val="auto"/>
      <w:outlineLvl w:val="1"/>
    </w:pPr>
    <w:rPr>
      <w:rFonts w:ascii="楷体_GB2312" w:hAnsi="Arial" w:eastAsia="楷体_GB2312" w:cs="楷体_GB2312"/>
      <w:b/>
      <w:bCs/>
      <w:kern w:val="2"/>
      <w:sz w:val="28"/>
      <w:szCs w:val="28"/>
    </w:rPr>
  </w:style>
  <w:style w:type="character" w:default="1" w:styleId="11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next w:val="1"/>
    <w:qFormat/>
    <w:uiPriority w:val="0"/>
    <w:pPr>
      <w:spacing w:after="120" w:line="240" w:lineRule="auto"/>
      <w:ind w:firstLine="420" w:firstLineChars="100"/>
      <w:jc w:val="both"/>
    </w:pPr>
    <w:rPr>
      <w:rFonts w:eastAsia="宋体"/>
      <w:color w:val="auto"/>
      <w:sz w:val="21"/>
    </w:rPr>
  </w:style>
  <w:style w:type="paragraph" w:styleId="3">
    <w:name w:val="Body Text"/>
    <w:basedOn w:val="1"/>
    <w:next w:val="1"/>
    <w:qFormat/>
    <w:uiPriority w:val="0"/>
    <w:pPr>
      <w:spacing w:line="520" w:lineRule="exact"/>
      <w:jc w:val="center"/>
    </w:pPr>
    <w:rPr>
      <w:rFonts w:eastAsia="黑体"/>
      <w:color w:val="FF0000"/>
      <w:sz w:val="44"/>
    </w:rPr>
  </w:style>
  <w:style w:type="paragraph" w:styleId="5">
    <w:name w:val="Body Text Indent"/>
    <w:basedOn w:val="1"/>
    <w:next w:val="6"/>
    <w:qFormat/>
    <w:uiPriority w:val="99"/>
    <w:pPr>
      <w:spacing w:line="360" w:lineRule="auto"/>
      <w:ind w:firstLine="600" w:firstLineChars="200"/>
    </w:pPr>
    <w:rPr>
      <w:rFonts w:ascii="仿宋_GB2312" w:hAnsi="宋体" w:eastAsia="仿宋_GB2312"/>
      <w:sz w:val="30"/>
    </w:rPr>
  </w:style>
  <w:style w:type="paragraph" w:styleId="6">
    <w:name w:val="envelope return"/>
    <w:basedOn w:val="1"/>
    <w:qFormat/>
    <w:uiPriority w:val="0"/>
    <w:pPr>
      <w:widowControl/>
      <w:adjustRightInd w:val="0"/>
      <w:snapToGrid w:val="0"/>
      <w:spacing w:after="200"/>
      <w:jc w:val="left"/>
    </w:pPr>
    <w:rPr>
      <w:rFonts w:ascii="Arial" w:hAnsi="Arial" w:eastAsia="微软雅黑"/>
      <w:kern w:val="0"/>
      <w:sz w:val="22"/>
      <w:szCs w:val="22"/>
    </w:rPr>
  </w:style>
  <w:style w:type="paragraph" w:styleId="7">
    <w:name w:val="Plain Text"/>
    <w:basedOn w:val="1"/>
    <w:qFormat/>
    <w:uiPriority w:val="0"/>
    <w:pPr>
      <w:spacing w:before="156" w:beforeLines="50" w:after="156" w:afterLines="50" w:line="400" w:lineRule="exact"/>
    </w:pPr>
    <w:rPr>
      <w:rFonts w:ascii="宋体" w:hAnsi="Courier New"/>
      <w:sz w:val="24"/>
    </w:rPr>
  </w:style>
  <w:style w:type="paragraph" w:styleId="8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10">
    <w:name w:val="Table Grid"/>
    <w:basedOn w:val="9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Strong"/>
    <w:basedOn w:val="11"/>
    <w:qFormat/>
    <w:uiPriority w:val="0"/>
    <w:rPr>
      <w:b/>
    </w:rPr>
  </w:style>
  <w:style w:type="paragraph" w:styleId="13">
    <w:name w:val="List Paragraph"/>
    <w:basedOn w:val="1"/>
    <w:qFormat/>
    <w:uiPriority w:val="99"/>
    <w:pPr>
      <w:ind w:firstLine="420" w:firstLineChars="200"/>
    </w:pPr>
  </w:style>
  <w:style w:type="paragraph" w:customStyle="1" w:styleId="14">
    <w:name w:val="reader-word-layer reader-word-s1-3"/>
    <w:basedOn w:val="1"/>
    <w:qFormat/>
    <w:uiPriority w:val="99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宋体" w:hAnsi="宋体" w:cs="宋体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1730</Words>
  <Characters>1827</Characters>
  <Lines>0</Lines>
  <Paragraphs>0</Paragraphs>
  <TotalTime>22</TotalTime>
  <ScaleCrop>false</ScaleCrop>
  <LinksUpToDate>false</LinksUpToDate>
  <CharactersWithSpaces>1855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2023-03-17T06:43:00Z</dcterms:created>
  <dc:creator>hzsy</dc:creator>
  <cp:lastModifiedBy>hu</cp:lastModifiedBy>
  <cp:lastPrinted>2023-09-20T08:12:00Z</cp:lastPrinted>
  <dcterms:modified xsi:type="dcterms:W3CDTF">2025-12-04T07:39:35Z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eyJoZGlkIjoiNmViY2NkM2I3YWI3YmIzMjY4NjAwYjZkZDM0Y2RlYmMiLCJ1c2VySWQiOiIzODE1NzIyNjYifQ==</vt:lpwstr>
  </property>
  <property fmtid="{D5CDD505-2E9C-101B-9397-08002B2CF9AE}" pid="4" name="ICV">
    <vt:lpwstr>C05AC8AEFD044E9394A6FC5A282FE296_13</vt:lpwstr>
  </property>
</Properties>
</file>