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8"/>
          <w:szCs w:val="28"/>
          <w:lang w:val="en-US" w:eastAsia="zh-CN"/>
        </w:rPr>
      </w:pPr>
      <w:r>
        <w:rPr>
          <w:rFonts w:hint="eastAsia"/>
          <w:sz w:val="28"/>
          <w:szCs w:val="28"/>
          <w:lang w:val="en-US" w:eastAsia="zh-CN"/>
        </w:rPr>
        <w:t>数据安全项目采购需求</w:t>
      </w:r>
    </w:p>
    <w:p>
      <w:pPr>
        <w:rPr>
          <w:rFonts w:hint="default"/>
          <w:lang w:val="en-US" w:eastAsia="zh-CN"/>
        </w:rPr>
      </w:pPr>
      <w:r>
        <w:rPr>
          <w:rFonts w:hint="eastAsia"/>
          <w:lang w:val="en-US" w:eastAsia="zh-CN"/>
        </w:rPr>
        <w:t>一、采购内容</w:t>
      </w:r>
    </w:p>
    <w:tbl>
      <w:tblPr>
        <w:tblStyle w:val="9"/>
        <w:tblW w:w="9934" w:type="dxa"/>
        <w:tblInd w:w="-6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8"/>
        <w:gridCol w:w="1636"/>
        <w:gridCol w:w="4773"/>
        <w:gridCol w:w="851"/>
        <w:gridCol w:w="740"/>
        <w:gridCol w:w="7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1138" w:type="dxa"/>
            <w:shd w:val="clear" w:color="auto" w:fill="DEEBF6" w:themeFill="accent1" w:themeFillTint="32"/>
            <w:vAlign w:val="center"/>
          </w:tcPr>
          <w:p>
            <w:pPr>
              <w:jc w:val="center"/>
              <w:rPr>
                <w:rFonts w:hint="eastAsia" w:ascii="华文仿宋" w:hAnsi="华文仿宋" w:eastAsia="华文仿宋" w:cs="华文仿宋"/>
                <w:b/>
                <w:bCs/>
                <w:sz w:val="24"/>
                <w:szCs w:val="24"/>
              </w:rPr>
            </w:pPr>
            <w:r>
              <w:rPr>
                <w:rFonts w:hint="eastAsia" w:ascii="华文仿宋" w:hAnsi="华文仿宋" w:eastAsia="华文仿宋" w:cs="华文仿宋"/>
                <w:b/>
                <w:bCs/>
                <w:sz w:val="24"/>
                <w:szCs w:val="24"/>
              </w:rPr>
              <w:t>序号</w:t>
            </w:r>
          </w:p>
        </w:tc>
        <w:tc>
          <w:tcPr>
            <w:tcW w:w="1636" w:type="dxa"/>
            <w:shd w:val="clear" w:color="auto" w:fill="DEEBF6" w:themeFill="accent1" w:themeFillTint="32"/>
            <w:vAlign w:val="center"/>
          </w:tcPr>
          <w:p>
            <w:pPr>
              <w:jc w:val="center"/>
              <w:rPr>
                <w:rFonts w:hint="eastAsia" w:ascii="华文仿宋" w:hAnsi="华文仿宋" w:eastAsia="华文仿宋" w:cs="华文仿宋"/>
                <w:b/>
                <w:bCs/>
                <w:sz w:val="24"/>
                <w:szCs w:val="24"/>
              </w:rPr>
            </w:pPr>
            <w:r>
              <w:rPr>
                <w:rFonts w:hint="eastAsia" w:ascii="华文仿宋" w:hAnsi="华文仿宋" w:eastAsia="华文仿宋" w:cs="华文仿宋"/>
                <w:b/>
                <w:bCs/>
                <w:sz w:val="24"/>
                <w:szCs w:val="24"/>
              </w:rPr>
              <w:t>产品/组件名称</w:t>
            </w:r>
          </w:p>
        </w:tc>
        <w:tc>
          <w:tcPr>
            <w:tcW w:w="4773" w:type="dxa"/>
            <w:shd w:val="clear" w:color="auto" w:fill="DEEBF6" w:themeFill="accent1" w:themeFillTint="32"/>
            <w:vAlign w:val="center"/>
          </w:tcPr>
          <w:p>
            <w:pPr>
              <w:jc w:val="center"/>
              <w:rPr>
                <w:rFonts w:hint="eastAsia" w:ascii="华文仿宋" w:hAnsi="华文仿宋" w:eastAsia="华文仿宋" w:cs="华文仿宋"/>
                <w:b/>
                <w:bCs/>
                <w:sz w:val="24"/>
                <w:szCs w:val="24"/>
              </w:rPr>
            </w:pPr>
            <w:r>
              <w:rPr>
                <w:rFonts w:hint="eastAsia" w:ascii="华文仿宋" w:hAnsi="华文仿宋" w:eastAsia="华文仿宋" w:cs="华文仿宋"/>
                <w:b/>
                <w:bCs/>
                <w:sz w:val="24"/>
                <w:szCs w:val="24"/>
              </w:rPr>
              <w:t>产品描述</w:t>
            </w:r>
          </w:p>
        </w:tc>
        <w:tc>
          <w:tcPr>
            <w:tcW w:w="851" w:type="dxa"/>
            <w:shd w:val="clear" w:color="auto" w:fill="DEEBF6" w:themeFill="accent1" w:themeFillTint="32"/>
            <w:vAlign w:val="center"/>
          </w:tcPr>
          <w:p>
            <w:pPr>
              <w:jc w:val="center"/>
              <w:rPr>
                <w:rFonts w:hint="eastAsia" w:ascii="华文仿宋" w:hAnsi="华文仿宋" w:eastAsia="华文仿宋" w:cs="华文仿宋"/>
                <w:b/>
                <w:bCs/>
                <w:sz w:val="24"/>
                <w:szCs w:val="24"/>
              </w:rPr>
            </w:pPr>
            <w:r>
              <w:rPr>
                <w:rFonts w:hint="eastAsia" w:ascii="华文仿宋" w:hAnsi="华文仿宋" w:eastAsia="华文仿宋" w:cs="华文仿宋"/>
                <w:b/>
                <w:bCs/>
                <w:sz w:val="24"/>
                <w:szCs w:val="24"/>
              </w:rPr>
              <w:t>单位</w:t>
            </w:r>
          </w:p>
        </w:tc>
        <w:tc>
          <w:tcPr>
            <w:tcW w:w="740" w:type="dxa"/>
            <w:shd w:val="clear" w:color="auto" w:fill="DEEBF6" w:themeFill="accent1" w:themeFillTint="32"/>
            <w:vAlign w:val="center"/>
          </w:tcPr>
          <w:p>
            <w:pPr>
              <w:jc w:val="center"/>
              <w:rPr>
                <w:rFonts w:hint="eastAsia" w:ascii="华文仿宋" w:hAnsi="华文仿宋" w:eastAsia="华文仿宋" w:cs="华文仿宋"/>
                <w:b/>
                <w:bCs/>
                <w:sz w:val="24"/>
                <w:szCs w:val="24"/>
              </w:rPr>
            </w:pPr>
            <w:r>
              <w:rPr>
                <w:rFonts w:hint="eastAsia" w:ascii="华文仿宋" w:hAnsi="华文仿宋" w:eastAsia="华文仿宋" w:cs="华文仿宋"/>
                <w:b/>
                <w:bCs/>
                <w:sz w:val="24"/>
                <w:szCs w:val="24"/>
              </w:rPr>
              <w:t>数量</w:t>
            </w:r>
          </w:p>
        </w:tc>
        <w:tc>
          <w:tcPr>
            <w:tcW w:w="796" w:type="dxa"/>
            <w:shd w:val="clear" w:color="auto" w:fill="DEEBF6" w:themeFill="accent1" w:themeFillTint="32"/>
            <w:vAlign w:val="center"/>
          </w:tcPr>
          <w:p>
            <w:pPr>
              <w:jc w:val="center"/>
              <w:rPr>
                <w:rFonts w:hint="eastAsia" w:ascii="华文仿宋" w:hAnsi="华文仿宋" w:eastAsia="华文仿宋" w:cs="华文仿宋"/>
                <w:b/>
                <w:bCs/>
                <w:sz w:val="24"/>
                <w:szCs w:val="24"/>
              </w:rPr>
            </w:pPr>
            <w:r>
              <w:rPr>
                <w:rFonts w:hint="eastAsia" w:ascii="华文仿宋" w:hAnsi="华文仿宋" w:eastAsia="华文仿宋" w:cs="华文仿宋"/>
                <w:b/>
                <w:bCs/>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1</w:t>
            </w:r>
          </w:p>
        </w:tc>
        <w:tc>
          <w:tcPr>
            <w:tcW w:w="1636"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数据安全一体化管理平台</w:t>
            </w:r>
          </w:p>
        </w:tc>
        <w:tc>
          <w:tcPr>
            <w:tcW w:w="4773"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数据安全一体化平台；联动多种数据安全能力提供全域防护，最大可激活授权数：400M数据库流量（4G网络流量），500个资产授权。</w:t>
            </w:r>
          </w:p>
        </w:tc>
        <w:tc>
          <w:tcPr>
            <w:tcW w:w="851"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项</w:t>
            </w:r>
          </w:p>
        </w:tc>
        <w:tc>
          <w:tcPr>
            <w:tcW w:w="740"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1</w:t>
            </w:r>
          </w:p>
        </w:tc>
        <w:tc>
          <w:tcPr>
            <w:tcW w:w="796" w:type="dxa"/>
            <w:vAlign w:val="center"/>
          </w:tcPr>
          <w:p>
            <w:pPr>
              <w:pStyle w:val="6"/>
              <w:ind w:firstLine="0" w:firstLineChars="0"/>
              <w:jc w:val="center"/>
              <w:rPr>
                <w:rFonts w:hint="eastAsia" w:ascii="华文仿宋" w:hAnsi="华文仿宋" w:eastAsia="华文仿宋" w:cs="华文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2</w:t>
            </w:r>
          </w:p>
        </w:tc>
        <w:tc>
          <w:tcPr>
            <w:tcW w:w="1636"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权限管控模块</w:t>
            </w:r>
          </w:p>
        </w:tc>
        <w:tc>
          <w:tcPr>
            <w:tcW w:w="4773"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提供围绕数据资产的最小化权控防护机制，实时阻断一切非预期的访问行为，防止内部的数据破坏、数据泄漏。10个数据库实例授权激活。</w:t>
            </w:r>
          </w:p>
        </w:tc>
        <w:tc>
          <w:tcPr>
            <w:tcW w:w="851"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项</w:t>
            </w:r>
          </w:p>
        </w:tc>
        <w:tc>
          <w:tcPr>
            <w:tcW w:w="740"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1</w:t>
            </w:r>
          </w:p>
        </w:tc>
        <w:tc>
          <w:tcPr>
            <w:tcW w:w="796" w:type="dxa"/>
            <w:vAlign w:val="center"/>
          </w:tcPr>
          <w:p>
            <w:pPr>
              <w:pStyle w:val="6"/>
              <w:ind w:firstLine="0" w:firstLineChars="0"/>
              <w:jc w:val="center"/>
              <w:rPr>
                <w:rFonts w:hint="eastAsia" w:ascii="华文仿宋" w:hAnsi="华文仿宋" w:eastAsia="华文仿宋" w:cs="华文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3</w:t>
            </w:r>
          </w:p>
        </w:tc>
        <w:tc>
          <w:tcPr>
            <w:tcW w:w="1636"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API审计</w:t>
            </w:r>
          </w:p>
        </w:tc>
        <w:tc>
          <w:tcPr>
            <w:tcW w:w="4773"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精准解析API流量，通过精细化日志审计、异常行为检测和合规性分析，全面掌握API安全态势。2G网络流量授权激活。</w:t>
            </w:r>
          </w:p>
        </w:tc>
        <w:tc>
          <w:tcPr>
            <w:tcW w:w="851"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项</w:t>
            </w:r>
          </w:p>
        </w:tc>
        <w:tc>
          <w:tcPr>
            <w:tcW w:w="740"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1</w:t>
            </w:r>
          </w:p>
        </w:tc>
        <w:tc>
          <w:tcPr>
            <w:tcW w:w="796" w:type="dxa"/>
            <w:vAlign w:val="center"/>
          </w:tcPr>
          <w:p>
            <w:pPr>
              <w:pStyle w:val="6"/>
              <w:ind w:firstLine="0" w:firstLineChars="0"/>
              <w:jc w:val="center"/>
              <w:rPr>
                <w:rFonts w:hint="eastAsia" w:ascii="华文仿宋" w:hAnsi="华文仿宋" w:eastAsia="华文仿宋" w:cs="华文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4</w:t>
            </w:r>
          </w:p>
        </w:tc>
        <w:tc>
          <w:tcPr>
            <w:tcW w:w="1636" w:type="dxa"/>
            <w:vAlign w:val="center"/>
          </w:tcPr>
          <w:p>
            <w:pPr>
              <w:pStyle w:val="6"/>
              <w:ind w:firstLine="0" w:firstLineChars="0"/>
              <w:jc w:val="center"/>
              <w:rPr>
                <w:rFonts w:hint="eastAsia" w:ascii="华文仿宋" w:hAnsi="华文仿宋" w:eastAsia="华文仿宋" w:cs="华文仿宋"/>
                <w:sz w:val="21"/>
                <w:szCs w:val="21"/>
              </w:rPr>
            </w:pPr>
            <w:r>
              <w:rPr>
                <w:rFonts w:ascii="华文仿宋" w:hAnsi="华文仿宋" w:eastAsia="华文仿宋" w:cs="华文仿宋"/>
                <w:sz w:val="21"/>
                <w:szCs w:val="21"/>
              </w:rPr>
              <w:t>API防控</w:t>
            </w:r>
          </w:p>
        </w:tc>
        <w:tc>
          <w:tcPr>
            <w:tcW w:w="4773"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精准解析API流量，通过API资产治理、精准身份鉴权和精细化管控等措施，保障API共享交换过程中的安全与合规。</w:t>
            </w:r>
          </w:p>
        </w:tc>
        <w:tc>
          <w:tcPr>
            <w:tcW w:w="851"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项</w:t>
            </w:r>
          </w:p>
        </w:tc>
        <w:tc>
          <w:tcPr>
            <w:tcW w:w="740" w:type="dxa"/>
            <w:vAlign w:val="center"/>
          </w:tcPr>
          <w:p>
            <w:pPr>
              <w:pStyle w:val="6"/>
              <w:ind w:firstLine="0" w:firstLineChars="0"/>
              <w:jc w:val="center"/>
              <w:rPr>
                <w:rFonts w:hint="eastAsia" w:ascii="华文仿宋" w:hAnsi="华文仿宋" w:eastAsia="华文仿宋" w:cs="华文仿宋"/>
                <w:sz w:val="21"/>
                <w:szCs w:val="21"/>
              </w:rPr>
            </w:pPr>
            <w:r>
              <w:rPr>
                <w:rFonts w:hint="eastAsia" w:ascii="华文仿宋" w:hAnsi="华文仿宋" w:eastAsia="华文仿宋" w:cs="华文仿宋"/>
                <w:sz w:val="21"/>
                <w:szCs w:val="21"/>
              </w:rPr>
              <w:t>1</w:t>
            </w:r>
          </w:p>
        </w:tc>
        <w:tc>
          <w:tcPr>
            <w:tcW w:w="796" w:type="dxa"/>
            <w:vAlign w:val="center"/>
          </w:tcPr>
          <w:p>
            <w:pPr>
              <w:pStyle w:val="6"/>
              <w:ind w:firstLine="0" w:firstLineChars="0"/>
              <w:jc w:val="center"/>
              <w:rPr>
                <w:rFonts w:hint="eastAsia" w:ascii="华文仿宋" w:hAnsi="华文仿宋" w:eastAsia="华文仿宋" w:cs="华文仿宋"/>
                <w:sz w:val="21"/>
                <w:szCs w:val="21"/>
              </w:rPr>
            </w:pPr>
          </w:p>
        </w:tc>
      </w:tr>
    </w:tbl>
    <w:p>
      <w:pPr>
        <w:pStyle w:val="2"/>
        <w:numPr>
          <w:numId w:val="0"/>
        </w:numPr>
        <w:spacing w:line="288" w:lineRule="auto"/>
        <w:jc w:val="left"/>
        <w:outlineLvl w:val="0"/>
        <w:rPr>
          <w:rFonts w:hint="eastAsia" w:ascii="华文仿宋" w:hAnsi="华文仿宋" w:eastAsia="华文仿宋" w:cs="华文仿宋"/>
          <w:b w:val="0"/>
          <w:bCs w:val="0"/>
          <w:sz w:val="28"/>
          <w:szCs w:val="28"/>
        </w:rPr>
      </w:pPr>
      <w:r>
        <w:rPr>
          <w:rFonts w:hint="eastAsia" w:ascii="华文仿宋" w:hAnsi="华文仿宋" w:eastAsia="华文仿宋" w:cs="华文仿宋"/>
          <w:kern w:val="2"/>
          <w:sz w:val="28"/>
          <w:szCs w:val="28"/>
          <w:lang w:val="en-US" w:eastAsia="zh-CN"/>
        </w:rPr>
        <w:t>二、</w:t>
      </w:r>
      <w:r>
        <w:rPr>
          <w:rFonts w:hint="eastAsia" w:ascii="华文仿宋" w:hAnsi="华文仿宋" w:eastAsia="华文仿宋" w:cs="华文仿宋"/>
          <w:kern w:val="2"/>
          <w:sz w:val="28"/>
          <w:szCs w:val="28"/>
        </w:rPr>
        <w:t>产品参数</w:t>
      </w:r>
    </w:p>
    <w:tbl>
      <w:tblPr>
        <w:tblStyle w:val="9"/>
        <w:tblpPr w:leftFromText="180" w:rightFromText="180" w:vertAnchor="text" w:horzAnchor="page" w:tblpX="1189" w:tblpY="308"/>
        <w:tblOverlap w:val="never"/>
        <w:tblW w:w="58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1"/>
        <w:gridCol w:w="87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94" w:type="pct"/>
            <w:shd w:val="clear" w:color="auto" w:fill="DEEAF6" w:themeFill="accent1" w:themeFillTint="33"/>
            <w:vAlign w:val="center"/>
          </w:tcPr>
          <w:p>
            <w:pPr>
              <w:jc w:val="center"/>
              <w:rPr>
                <w:rFonts w:hint="eastAsia" w:ascii="华文仿宋" w:hAnsi="华文仿宋" w:eastAsia="华文仿宋" w:cs="华文仿宋"/>
                <w:b/>
                <w:bCs/>
                <w:sz w:val="24"/>
                <w:szCs w:val="24"/>
              </w:rPr>
            </w:pPr>
            <w:r>
              <w:rPr>
                <w:rFonts w:hint="eastAsia" w:ascii="华文仿宋" w:hAnsi="华文仿宋" w:eastAsia="华文仿宋" w:cs="华文仿宋"/>
                <w:b/>
                <w:bCs/>
                <w:sz w:val="24"/>
                <w:szCs w:val="24"/>
              </w:rPr>
              <w:t>指标项</w:t>
            </w:r>
          </w:p>
        </w:tc>
        <w:tc>
          <w:tcPr>
            <w:tcW w:w="4405" w:type="pct"/>
            <w:shd w:val="clear" w:color="auto" w:fill="DEEAF6" w:themeFill="accent1" w:themeFillTint="33"/>
            <w:vAlign w:val="center"/>
          </w:tcPr>
          <w:p>
            <w:pPr>
              <w:jc w:val="center"/>
              <w:rPr>
                <w:rFonts w:hint="eastAsia" w:ascii="华文仿宋" w:hAnsi="华文仿宋" w:eastAsia="华文仿宋" w:cs="华文仿宋"/>
                <w:b/>
                <w:bCs/>
                <w:sz w:val="24"/>
                <w:szCs w:val="24"/>
              </w:rPr>
            </w:pPr>
            <w:r>
              <w:rPr>
                <w:rFonts w:hint="eastAsia" w:ascii="华文仿宋" w:hAnsi="华文仿宋" w:eastAsia="华文仿宋" w:cs="华文仿宋"/>
                <w:b/>
                <w:bCs/>
                <w:sz w:val="24"/>
                <w:szCs w:val="24"/>
              </w:rPr>
              <w:t>指标要求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5000" w:type="pct"/>
            <w:gridSpan w:val="2"/>
            <w:vAlign w:val="center"/>
          </w:tcPr>
          <w:p>
            <w:pPr>
              <w:jc w:val="center"/>
              <w:rPr>
                <w:rFonts w:hint="eastAsia" w:ascii="华文仿宋" w:hAnsi="华文仿宋" w:eastAsia="华文仿宋" w:cs="华文仿宋"/>
                <w:b/>
                <w:bCs/>
                <w:szCs w:val="21"/>
              </w:rPr>
            </w:pPr>
            <w:r>
              <w:rPr>
                <w:rFonts w:hint="eastAsia" w:ascii="华文仿宋" w:hAnsi="华文仿宋" w:eastAsia="华文仿宋" w:cs="华文仿宋"/>
                <w:b/>
                <w:bCs/>
                <w:szCs w:val="21"/>
              </w:rPr>
              <w:t>一、平台功能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594" w:type="pct"/>
            <w:vMerge w:val="restart"/>
            <w:vAlign w:val="center"/>
          </w:tcPr>
          <w:p>
            <w:pPr>
              <w:jc w:val="center"/>
              <w:rPr>
                <w:rFonts w:hint="eastAsia" w:ascii="华文仿宋" w:hAnsi="华文仿宋" w:eastAsia="华文仿宋" w:cs="华文仿宋"/>
                <w:szCs w:val="21"/>
              </w:rPr>
            </w:pPr>
            <w:r>
              <w:rPr>
                <w:rFonts w:hint="eastAsia" w:ascii="华文仿宋" w:hAnsi="华文仿宋" w:eastAsia="华文仿宋" w:cs="华文仿宋"/>
                <w:szCs w:val="21"/>
              </w:rPr>
              <w:t>身份管理</w:t>
            </w:r>
          </w:p>
        </w:tc>
        <w:tc>
          <w:tcPr>
            <w:tcW w:w="4405" w:type="pct"/>
          </w:tcPr>
          <w:p>
            <w:pPr>
              <w:pStyle w:val="11"/>
              <w:rPr>
                <w:rFonts w:hint="eastAsia" w:ascii="华文仿宋" w:hAnsi="华文仿宋" w:eastAsia="华文仿宋" w:cs="华文仿宋"/>
                <w:szCs w:val="21"/>
              </w:rPr>
            </w:pPr>
            <w:r>
              <w:rPr>
                <w:rFonts w:hint="eastAsia" w:ascii="宋体" w:hAnsi="宋体" w:eastAsia="宋体" w:cs="宋体"/>
                <w:kern w:val="0"/>
                <w:szCs w:val="21"/>
              </w:rPr>
              <w:t>★</w:t>
            </w:r>
            <w:r>
              <w:rPr>
                <w:rFonts w:hint="eastAsia" w:ascii="华文仿宋" w:hAnsi="华文仿宋" w:eastAsia="华文仿宋" w:cs="华文仿宋"/>
                <w:szCs w:val="21"/>
              </w:rPr>
              <w:t>支持以“人、终端、应用、账号”四个维度精确定义唯一的资产访问身份；支持通过终端设备IP、MAC地址、应用名称、动态指纹、数字证书、数据库账号、业务账号名称等因素的组合，构建多维的身份鉴别策略。（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594" w:type="pct"/>
            <w:vMerge w:val="continue"/>
            <w:vAlign w:val="center"/>
          </w:tcPr>
          <w:p>
            <w:pPr>
              <w:jc w:val="center"/>
              <w:rPr>
                <w:rFonts w:hint="eastAsia" w:ascii="华文仿宋" w:hAnsi="华文仿宋" w:eastAsia="华文仿宋" w:cs="华文仿宋"/>
                <w:szCs w:val="21"/>
              </w:rPr>
            </w:pPr>
          </w:p>
        </w:tc>
        <w:tc>
          <w:tcPr>
            <w:tcW w:w="4405" w:type="pct"/>
          </w:tcPr>
          <w:p>
            <w:pPr>
              <w:pStyle w:val="11"/>
              <w:rPr>
                <w:rFonts w:hint="eastAsia" w:ascii="华文仿宋" w:hAnsi="华文仿宋" w:eastAsia="华文仿宋" w:cs="华文仿宋"/>
                <w:kern w:val="0"/>
                <w:szCs w:val="21"/>
              </w:rPr>
            </w:pPr>
            <w:r>
              <w:rPr>
                <w:rFonts w:hint="eastAsia" w:ascii="华文仿宋" w:hAnsi="华文仿宋" w:eastAsia="华文仿宋" w:cs="华文仿宋"/>
                <w:szCs w:val="21"/>
              </w:rPr>
              <w:t>支持身份的分组管理；支持设置身份的审计级别、有效时间、信任度、关联可访问的敏感数据等级；支持身份的黑名单管理。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594" w:type="pct"/>
            <w:vMerge w:val="restart"/>
            <w:vAlign w:val="center"/>
          </w:tcPr>
          <w:p>
            <w:pPr>
              <w:jc w:val="center"/>
              <w:rPr>
                <w:rFonts w:hint="eastAsia" w:ascii="华文仿宋" w:hAnsi="华文仿宋" w:eastAsia="华文仿宋" w:cs="华文仿宋"/>
                <w:szCs w:val="21"/>
              </w:rPr>
            </w:pPr>
            <w:r>
              <w:rPr>
                <w:rFonts w:hint="eastAsia" w:ascii="华文仿宋" w:hAnsi="华文仿宋" w:eastAsia="华文仿宋" w:cs="华文仿宋"/>
                <w:szCs w:val="21"/>
              </w:rPr>
              <w:t>法规解读</w:t>
            </w: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支持上传doc、docx、pdf等格式的法规政策文件进行统一管理，并支持一键下载至本地。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trPr>
        <w:tc>
          <w:tcPr>
            <w:tcW w:w="594" w:type="pct"/>
            <w:vMerge w:val="continue"/>
            <w:vAlign w:val="center"/>
          </w:tcPr>
          <w:p>
            <w:pPr>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支持不少于50份数据安全法律法规的条文解读，至少包括《数据安全法》、《个人信息保护法》、《数据出境安全评估办法》等；总结、展示合规文件中所有的数据安全核查项，并提供简单易读的安全指导标签，辅助快速理解落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restart"/>
            <w:vAlign w:val="center"/>
          </w:tcPr>
          <w:p>
            <w:pPr>
              <w:jc w:val="center"/>
              <w:rPr>
                <w:rFonts w:hint="eastAsia" w:ascii="华文仿宋" w:hAnsi="华文仿宋" w:eastAsia="华文仿宋" w:cs="华文仿宋"/>
                <w:szCs w:val="21"/>
              </w:rPr>
            </w:pPr>
            <w:r>
              <w:rPr>
                <w:rFonts w:hint="eastAsia" w:ascii="华文仿宋" w:hAnsi="华文仿宋" w:eastAsia="华文仿宋" w:cs="华文仿宋"/>
                <w:szCs w:val="21"/>
              </w:rPr>
              <w:t>审计日志</w:t>
            </w: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所有审计日志统一在平台集中存储、展示、检索；支持展示审计事件包含的相关主体、相关客体、相关行为、相关执行结果、返回结果等信息，至少包含客户端IP、资产IP、原始SQL、执行结果、执行时长、安全响应行为、风险等级等45个以上的审计要素，以便精准审计到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jc w:val="center"/>
              <w:rPr>
                <w:rFonts w:hint="eastAsia" w:ascii="华文仿宋" w:hAnsi="华文仿宋" w:eastAsia="华文仿宋" w:cs="华文仿宋"/>
                <w:szCs w:val="21"/>
              </w:rPr>
            </w:pPr>
          </w:p>
        </w:tc>
        <w:tc>
          <w:tcPr>
            <w:tcW w:w="4405" w:type="pct"/>
          </w:tcPr>
          <w:p>
            <w:pPr>
              <w:rPr>
                <w:rFonts w:hint="eastAsia" w:ascii="华文仿宋" w:hAnsi="华文仿宋" w:eastAsia="华文仿宋" w:cs="华文仿宋"/>
                <w:szCs w:val="21"/>
              </w:rPr>
            </w:pPr>
            <w:r>
              <w:rPr>
                <w:rFonts w:hint="eastAsia"/>
                <w:szCs w:val="21"/>
              </w:rPr>
              <w:t>★</w:t>
            </w:r>
            <w:r>
              <w:rPr>
                <w:rFonts w:hint="eastAsia" w:ascii="华文仿宋" w:hAnsi="华文仿宋" w:eastAsia="华文仿宋" w:cs="华文仿宋"/>
                <w:szCs w:val="21"/>
              </w:rPr>
              <w:t>支持事件回溯能力，至少支持时间、SQL语句数量等至少两个维度的会话溯源；支持从溯源结果中，一键批量提取SQL语句和执行顺序，组合形成应用访问指纹。（提供功能截图并加盖公章）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jc w:val="center"/>
              <w:rPr>
                <w:rFonts w:hint="eastAsia" w:ascii="华文仿宋" w:hAnsi="华文仿宋" w:eastAsia="华文仿宋" w:cs="华文仿宋"/>
                <w:szCs w:val="21"/>
              </w:rPr>
            </w:pPr>
          </w:p>
        </w:tc>
        <w:tc>
          <w:tcPr>
            <w:tcW w:w="4405" w:type="pct"/>
          </w:tcPr>
          <w:p>
            <w:pPr>
              <w:rPr>
                <w:rFonts w:hint="eastAsia" w:ascii="华文仿宋" w:hAnsi="华文仿宋" w:eastAsia="华文仿宋" w:cs="华文仿宋"/>
                <w:szCs w:val="21"/>
              </w:rPr>
            </w:pPr>
            <w:r>
              <w:rPr>
                <w:rFonts w:hint="eastAsia"/>
                <w:szCs w:val="21"/>
              </w:rPr>
              <w:t>★</w:t>
            </w:r>
            <w:r>
              <w:rPr>
                <w:rFonts w:hint="eastAsia" w:ascii="华文仿宋" w:hAnsi="华文仿宋" w:eastAsia="华文仿宋" w:cs="华文仿宋"/>
                <w:szCs w:val="21"/>
              </w:rPr>
              <w:t>支持会话分析能力，对会话过程进行回溯，回溯过程实时关联操作语句，回溯支持倍速播放。（提供功能截图并加盖公章）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支持根据特定规则进行事件过滤，过滤后的事件日志不在标准化日志展示中心呈现，以减少海量日志内容带来的运营压力；过滤后的事件仍可在事件回溯模块中展示，以保证回溯环节中的日志完整性。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支持将审</w:t>
            </w:r>
            <w:bookmarkStart w:id="0" w:name="_Hlk186040497"/>
            <w:r>
              <w:rPr>
                <w:rFonts w:hint="eastAsia" w:ascii="华文仿宋" w:hAnsi="华文仿宋" w:eastAsia="华文仿宋" w:cs="华文仿宋"/>
                <w:szCs w:val="21"/>
              </w:rPr>
              <w:t>计日志查询条件通过且或逻辑组合</w:t>
            </w:r>
            <w:bookmarkEnd w:id="0"/>
            <w:r>
              <w:rPr>
                <w:rFonts w:hint="eastAsia" w:ascii="华文仿宋" w:hAnsi="华文仿宋" w:eastAsia="华文仿宋" w:cs="华文仿宋"/>
                <w:szCs w:val="21"/>
              </w:rPr>
              <w:t xml:space="preserve">对日志进行精确查询；支持等于、不等于、包含、不包含、为空、不为空等运算条件。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支持对返回内容进行遮蔽，内置不低于10条常见遮蔽规则；支持通过字符串或正则表达式自定义遮蔽规则；遮蔽内容经过身份验证后支持查看。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Align w:val="center"/>
          </w:tcPr>
          <w:p>
            <w:pPr>
              <w:jc w:val="center"/>
              <w:rPr>
                <w:rFonts w:hint="eastAsia" w:ascii="华文仿宋" w:hAnsi="华文仿宋" w:eastAsia="华文仿宋" w:cs="华文仿宋"/>
                <w:szCs w:val="21"/>
              </w:rPr>
            </w:pPr>
            <w:r>
              <w:rPr>
                <w:rFonts w:hint="eastAsia" w:ascii="华文仿宋" w:hAnsi="华文仿宋" w:eastAsia="华文仿宋" w:cs="华文仿宋"/>
                <w:szCs w:val="21"/>
              </w:rPr>
              <w:t>审计告警</w:t>
            </w:r>
          </w:p>
        </w:tc>
        <w:tc>
          <w:tcPr>
            <w:tcW w:w="4405" w:type="pct"/>
          </w:tcPr>
          <w:p>
            <w:pPr>
              <w:rPr>
                <w:rFonts w:hint="eastAsia" w:ascii="华文仿宋" w:hAnsi="华文仿宋" w:eastAsia="华文仿宋" w:cs="华文仿宋"/>
                <w:szCs w:val="21"/>
              </w:rPr>
            </w:pPr>
            <w:r>
              <w:rPr>
                <w:rFonts w:hint="eastAsia" w:ascii="华文仿宋" w:hAnsi="华文仿宋" w:eastAsia="华文仿宋" w:cs="华文仿宋"/>
                <w:szCs w:val="21"/>
              </w:rPr>
              <w:t>支持对日志进行聚合分析，当同一主机/同一数据库账号/同一客户端IP/同一设备/陌生业务账号累计触发同一规则达到一定次数时，才会进行告警，以降低告警次数。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restart"/>
            <w:vAlign w:val="center"/>
          </w:tcPr>
          <w:p>
            <w:pPr>
              <w:jc w:val="center"/>
              <w:rPr>
                <w:rFonts w:hint="eastAsia" w:ascii="华文仿宋" w:hAnsi="华文仿宋" w:eastAsia="华文仿宋" w:cs="华文仿宋"/>
                <w:szCs w:val="21"/>
              </w:rPr>
            </w:pPr>
            <w:r>
              <w:rPr>
                <w:rFonts w:hint="eastAsia" w:ascii="华文仿宋" w:hAnsi="华文仿宋" w:eastAsia="华文仿宋" w:cs="华文仿宋"/>
                <w:szCs w:val="21"/>
              </w:rPr>
              <w:t>态势大屏</w:t>
            </w:r>
          </w:p>
        </w:tc>
        <w:tc>
          <w:tcPr>
            <w:tcW w:w="4405" w:type="pct"/>
          </w:tcPr>
          <w:p>
            <w:pPr>
              <w:rPr>
                <w:rFonts w:hint="eastAsia" w:ascii="华文仿宋" w:hAnsi="华文仿宋" w:eastAsia="华文仿宋" w:cs="华文仿宋"/>
                <w:szCs w:val="21"/>
              </w:rPr>
            </w:pPr>
            <w:r>
              <w:rPr>
                <w:rFonts w:hint="eastAsia" w:ascii="华文仿宋" w:hAnsi="华文仿宋" w:eastAsia="华文仿宋" w:cs="华文仿宋"/>
                <w:szCs w:val="21"/>
              </w:rPr>
              <w:t>提供安全态势大屏，直观展现数据安全总体态势，包括敏感资产访问热度、活跃身份、访问时间热度、资产脆弱性统计、风险资产Top5、风险身份TOP5、风险类型Top5、安全防护效果、告警趋势、实时高危事件等模块，呈现整体系统的安全总体态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jc w:val="center"/>
              <w:rPr>
                <w:rFonts w:hint="eastAsia" w:ascii="华文仿宋" w:hAnsi="华文仿宋" w:eastAsia="华文仿宋" w:cs="华文仿宋"/>
                <w:szCs w:val="21"/>
              </w:rPr>
            </w:pPr>
          </w:p>
        </w:tc>
        <w:tc>
          <w:tcPr>
            <w:tcW w:w="4405" w:type="pct"/>
          </w:tcPr>
          <w:p>
            <w:pPr>
              <w:rPr>
                <w:rFonts w:hint="eastAsia" w:ascii="华文仿宋" w:hAnsi="华文仿宋" w:eastAsia="华文仿宋" w:cs="华文仿宋"/>
                <w:szCs w:val="21"/>
              </w:rPr>
            </w:pPr>
            <w:r>
              <w:rPr>
                <w:rFonts w:hint="eastAsia"/>
                <w:szCs w:val="21"/>
              </w:rPr>
              <w:t>★</w:t>
            </w:r>
            <w:r>
              <w:rPr>
                <w:rFonts w:hint="eastAsia" w:ascii="华文仿宋" w:hAnsi="华文仿宋" w:eastAsia="华文仿宋" w:cs="华文仿宋"/>
                <w:szCs w:val="21"/>
              </w:rPr>
              <w:t>提供资产分布态势大屏，直观展现用户整体系统的风险情况，包括数据库/敏感表/敏感列的数量统计、数据访问趋势、数据库类型占比、SQL执行时长分布、数据敏感列分布、敏感表数据分布、数据库登录情况TOP10等内容；支持个性化换肤。（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jc w:val="center"/>
              <w:rPr>
                <w:rFonts w:hint="eastAsia" w:ascii="华文仿宋" w:hAnsi="华文仿宋" w:eastAsia="华文仿宋" w:cs="华文仿宋"/>
                <w:szCs w:val="21"/>
              </w:rPr>
            </w:pPr>
          </w:p>
        </w:tc>
        <w:tc>
          <w:tcPr>
            <w:tcW w:w="4405" w:type="pct"/>
          </w:tcPr>
          <w:p>
            <w:pPr>
              <w:rPr>
                <w:rFonts w:hint="eastAsia" w:ascii="华文仿宋" w:hAnsi="华文仿宋" w:eastAsia="华文仿宋" w:cs="华文仿宋"/>
                <w:szCs w:val="21"/>
              </w:rPr>
            </w:pPr>
            <w:r>
              <w:rPr>
                <w:rFonts w:hint="eastAsia" w:ascii="华文仿宋" w:hAnsi="华文仿宋" w:eastAsia="华文仿宋" w:cs="华文仿宋"/>
                <w:szCs w:val="21"/>
              </w:rPr>
              <w:t>提供运行监控大屏，直观展现安全设备整体运行情况。主要展示运行天数、安全设备数、事件总数、告警总数、设备运行情况、日志采集趋势等模块。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Align w:val="center"/>
          </w:tcPr>
          <w:p>
            <w:pPr>
              <w:jc w:val="center"/>
              <w:rPr>
                <w:rFonts w:hint="eastAsia" w:ascii="华文仿宋" w:hAnsi="华文仿宋" w:eastAsia="华文仿宋" w:cs="华文仿宋"/>
                <w:szCs w:val="21"/>
              </w:rPr>
            </w:pPr>
            <w:r>
              <w:rPr>
                <w:rFonts w:hint="eastAsia" w:ascii="华文仿宋" w:hAnsi="华文仿宋" w:eastAsia="华文仿宋" w:cs="华文仿宋"/>
                <w:szCs w:val="21"/>
              </w:rPr>
              <w:t>数据权限</w:t>
            </w:r>
          </w:p>
        </w:tc>
        <w:tc>
          <w:tcPr>
            <w:tcW w:w="4405" w:type="pct"/>
          </w:tcPr>
          <w:p>
            <w:pPr>
              <w:rPr>
                <w:rFonts w:hint="eastAsia" w:ascii="华文仿宋" w:hAnsi="华文仿宋" w:eastAsia="华文仿宋" w:cs="华文仿宋"/>
                <w:szCs w:val="21"/>
              </w:rPr>
            </w:pPr>
            <w:r>
              <w:rPr>
                <w:rFonts w:hint="eastAsia" w:ascii="华文仿宋" w:hAnsi="华文仿宋" w:eastAsia="华文仿宋" w:cs="华文仿宋"/>
                <w:szCs w:val="21"/>
              </w:rPr>
              <w:t>支持数据权限功能，通过设置数据权限组，控制用户可见的资产范围；分配到对应权限组的用户，可进行对应资产的管理，否则此用户无法管理此资产，以实现数据隔离。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restart"/>
            <w:vAlign w:val="center"/>
          </w:tcPr>
          <w:p>
            <w:pPr>
              <w:jc w:val="center"/>
              <w:rPr>
                <w:rFonts w:hint="eastAsia" w:ascii="华文仿宋" w:hAnsi="华文仿宋" w:eastAsia="华文仿宋" w:cs="华文仿宋"/>
                <w:szCs w:val="21"/>
              </w:rPr>
            </w:pPr>
            <w:r>
              <w:rPr>
                <w:rFonts w:hint="eastAsia" w:ascii="华文仿宋" w:hAnsi="华文仿宋" w:eastAsia="华文仿宋" w:cs="华文仿宋"/>
                <w:szCs w:val="21"/>
              </w:rPr>
              <w:t>安全报表</w:t>
            </w:r>
          </w:p>
        </w:tc>
        <w:tc>
          <w:tcPr>
            <w:tcW w:w="4405" w:type="pct"/>
          </w:tcPr>
          <w:p>
            <w:pPr>
              <w:rPr>
                <w:rFonts w:hint="eastAsia" w:ascii="华文仿宋" w:hAnsi="华文仿宋" w:eastAsia="华文仿宋" w:cs="华文仿宋"/>
                <w:szCs w:val="21"/>
              </w:rPr>
            </w:pPr>
            <w:r>
              <w:rPr>
                <w:rFonts w:hint="eastAsia" w:ascii="华文仿宋" w:hAnsi="华文仿宋" w:eastAsia="华文仿宋" w:cs="华文仿宋"/>
                <w:szCs w:val="32"/>
              </w:rPr>
              <w:t>内置合规报表、专项报表、综合报表、自定义报表四种类型。合规报表：提供萨班斯报表、等保报表、PCI报表、数据安全法报表模板，帮助用户满足日常合规需求，便于各类监管场景下的合规审查；专项报表：面向巡检等各类业务需要，面向运维、脱敏等业务场景提供数据安全专项报表；综合报表：面向数据库从敏感资产分布、SQL语句执行、风险事件角度对数据源进行综合分析，综合判断安全；</w:t>
            </w:r>
            <w:r>
              <w:rPr>
                <w:rFonts w:hint="eastAsia" w:ascii="华文仿宋" w:hAnsi="华文仿宋" w:eastAsia="华文仿宋" w:cs="华文仿宋"/>
                <w:szCs w:val="21"/>
              </w:rPr>
              <w:t>支持按需选择资产范围和时间范围即时生成在线报表。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支持邮件定时订阅PDF、WORD、HTML等多种形式的报表；支持以日报、周报、月报、季度报、年报等时间为周期发送安全报表。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5000" w:type="pct"/>
            <w:gridSpan w:val="2"/>
            <w:vAlign w:val="center"/>
          </w:tcPr>
          <w:p>
            <w:pPr>
              <w:rPr>
                <w:rFonts w:hint="eastAsia" w:ascii="华文仿宋" w:hAnsi="华文仿宋" w:eastAsia="华文仿宋" w:cs="华文仿宋"/>
                <w:szCs w:val="21"/>
              </w:rPr>
            </w:pPr>
            <w:r>
              <w:rPr>
                <w:rFonts w:hint="eastAsia" w:ascii="华文仿宋" w:hAnsi="华文仿宋" w:eastAsia="华文仿宋" w:cs="华文仿宋"/>
                <w:szCs w:val="21"/>
              </w:rPr>
              <w:t>二、权限管控模块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594" w:type="pct"/>
            <w:vMerge w:val="restart"/>
            <w:vAlign w:val="center"/>
          </w:tcPr>
          <w:p>
            <w:pPr>
              <w:tabs>
                <w:tab w:val="left" w:pos="1962"/>
              </w:tabs>
              <w:jc w:val="center"/>
              <w:rPr>
                <w:rFonts w:hint="eastAsia" w:ascii="华文仿宋" w:hAnsi="华文仿宋" w:eastAsia="华文仿宋" w:cs="华文仿宋"/>
                <w:szCs w:val="21"/>
              </w:rPr>
            </w:pPr>
            <w:r>
              <w:rPr>
                <w:rFonts w:hint="eastAsia" w:ascii="华文仿宋" w:hAnsi="华文仿宋" w:eastAsia="华文仿宋" w:cs="华文仿宋"/>
                <w:szCs w:val="21"/>
              </w:rPr>
              <w:t>权限模版</w:t>
            </w:r>
          </w:p>
        </w:tc>
        <w:tc>
          <w:tcPr>
            <w:tcW w:w="4405" w:type="pct"/>
          </w:tcPr>
          <w:p>
            <w:pPr>
              <w:rPr>
                <w:rFonts w:hint="eastAsia" w:ascii="华文仿宋" w:hAnsi="华文仿宋" w:eastAsia="华文仿宋" w:cs="华文仿宋"/>
                <w:szCs w:val="21"/>
              </w:rPr>
            </w:pPr>
            <w:r>
              <w:rPr>
                <w:rFonts w:hint="eastAsia"/>
                <w:szCs w:val="21"/>
              </w:rPr>
              <w:t>★</w:t>
            </w:r>
            <w:r>
              <w:rPr>
                <w:rFonts w:hint="eastAsia" w:ascii="华文仿宋" w:hAnsi="华文仿宋" w:eastAsia="华文仿宋" w:cs="华文仿宋"/>
                <w:szCs w:val="21"/>
              </w:rPr>
              <w:t>针对不同敏感等级的敏感资产，支持通过内置的权限模版，实现身份的初始化授权，1级敏感资产默认授权只读且可查询明文，其余敏感等级资产默认授权数据只读且脱敏权限，确保资产数据安全，实现基于资产的零信任防护；内置的权限模版无法编辑、删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rPr>
                <w:rFonts w:hint="eastAsia" w:ascii="华文仿宋" w:hAnsi="华文仿宋" w:eastAsia="华文仿宋" w:cs="华文仿宋"/>
                <w:szCs w:val="21"/>
              </w:rPr>
            </w:pPr>
            <w:r>
              <w:rPr>
                <w:rFonts w:hint="eastAsia" w:ascii="华文仿宋" w:hAnsi="华文仿宋" w:eastAsia="华文仿宋" w:cs="华文仿宋"/>
                <w:szCs w:val="21"/>
              </w:rPr>
              <w:t>支持设置数据操作、数据库对象操作两种类型的权限模版；支持通过数据操作模版，自定义对敏感资产的DQL、DML操作权限；支持通过数据库对象操作模版，自定义表、视图、存储过程、函数等各种实体的DDL、DCL操作权限。（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rPr>
                <w:rFonts w:hint="eastAsia" w:ascii="华文仿宋" w:hAnsi="华文仿宋" w:eastAsia="华文仿宋" w:cs="华文仿宋"/>
                <w:szCs w:val="21"/>
              </w:rPr>
            </w:pPr>
            <w:r>
              <w:rPr>
                <w:rFonts w:hint="eastAsia" w:ascii="华文仿宋" w:hAnsi="华文仿宋" w:eastAsia="华文仿宋" w:cs="华文仿宋"/>
                <w:szCs w:val="21"/>
              </w:rPr>
              <w:t>支持通过权限模版，为特定身份授予数据操作、数据库对象操作权限；支持限制授权有效期，可将授权有效期约束在指定时间段、指定时间周期、指定时间域；当需要变更某身份所使用的授权模版时，应当在变更前，进行授权前后的权限对比，明确标注操作变更项，防止因平台误操作造成不合理授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rPr>
                <w:rFonts w:hint="eastAsia" w:ascii="华文仿宋" w:hAnsi="华文仿宋" w:eastAsia="华文仿宋" w:cs="华文仿宋"/>
                <w:szCs w:val="21"/>
              </w:rPr>
            </w:pPr>
            <w:r>
              <w:rPr>
                <w:rFonts w:hint="eastAsia" w:ascii="华文仿宋" w:hAnsi="华文仿宋" w:eastAsia="华文仿宋" w:cs="华文仿宋"/>
                <w:szCs w:val="21"/>
              </w:rPr>
              <w:t>支持为不同等级的敏感资产，自定义设置不同的权限模版。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trPr>
        <w:tc>
          <w:tcPr>
            <w:tcW w:w="594" w:type="pct"/>
            <w:vAlign w:val="center"/>
          </w:tcPr>
          <w:p>
            <w:pPr>
              <w:tabs>
                <w:tab w:val="left" w:pos="1962"/>
              </w:tabs>
              <w:jc w:val="center"/>
              <w:rPr>
                <w:rFonts w:hint="eastAsia" w:ascii="华文仿宋" w:hAnsi="华文仿宋" w:eastAsia="华文仿宋" w:cs="华文仿宋"/>
                <w:szCs w:val="21"/>
              </w:rPr>
            </w:pPr>
            <w:r>
              <w:rPr>
                <w:rFonts w:hint="eastAsia" w:ascii="华文仿宋" w:hAnsi="华文仿宋" w:eastAsia="华文仿宋" w:cs="华文仿宋"/>
                <w:szCs w:val="21"/>
              </w:rPr>
              <w:t>准入控制</w:t>
            </w:r>
          </w:p>
        </w:tc>
        <w:tc>
          <w:tcPr>
            <w:tcW w:w="4405" w:type="pct"/>
          </w:tcPr>
          <w:p>
            <w:pPr>
              <w:rPr>
                <w:rFonts w:hint="eastAsia" w:ascii="华文仿宋" w:hAnsi="华文仿宋" w:eastAsia="华文仿宋" w:cs="华文仿宋"/>
                <w:szCs w:val="21"/>
              </w:rPr>
            </w:pPr>
            <w:r>
              <w:rPr>
                <w:rFonts w:hint="eastAsia" w:ascii="华文仿宋" w:hAnsi="华文仿宋" w:eastAsia="华文仿宋" w:cs="华文仿宋"/>
                <w:szCs w:val="21"/>
              </w:rPr>
              <w:t xml:space="preserve">支持数据库登录授权，通过身份的多因素认证，至少应支持应用名称、应用签名、主机名、证书、数据库用户、操作系统用户、用户名、IP地址、MAC地址等因素的任意组合，系统根据多维身份管理策略，自动判别登录主体的合法性，如不符合设定的身份管理策略，登录失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restart"/>
            <w:vAlign w:val="center"/>
          </w:tcPr>
          <w:p>
            <w:pPr>
              <w:tabs>
                <w:tab w:val="left" w:pos="1962"/>
              </w:tabs>
              <w:jc w:val="center"/>
              <w:rPr>
                <w:rFonts w:hint="eastAsia" w:ascii="华文仿宋" w:hAnsi="华文仿宋" w:eastAsia="华文仿宋" w:cs="华文仿宋"/>
                <w:szCs w:val="21"/>
              </w:rPr>
            </w:pPr>
            <w:r>
              <w:rPr>
                <w:rFonts w:hint="eastAsia" w:ascii="华文仿宋" w:hAnsi="华文仿宋" w:eastAsia="华文仿宋" w:cs="华文仿宋"/>
                <w:szCs w:val="21"/>
              </w:rPr>
              <w:t>防绕过</w:t>
            </w:r>
          </w:p>
        </w:tc>
        <w:tc>
          <w:tcPr>
            <w:tcW w:w="4405" w:type="pct"/>
          </w:tcPr>
          <w:p>
            <w:pPr>
              <w:tabs>
                <w:tab w:val="left" w:pos="1962"/>
              </w:tabs>
              <w:rPr>
                <w:rFonts w:hint="eastAsia" w:ascii="华文仿宋" w:hAnsi="华文仿宋" w:eastAsia="华文仿宋" w:cs="华文仿宋"/>
                <w:szCs w:val="21"/>
              </w:rPr>
            </w:pPr>
            <w:r>
              <w:rPr>
                <w:rFonts w:hint="eastAsia"/>
                <w:szCs w:val="21"/>
              </w:rPr>
              <w:t>★</w:t>
            </w:r>
            <w:r>
              <w:rPr>
                <w:rFonts w:hint="eastAsia" w:ascii="华文仿宋" w:hAnsi="华文仿宋" w:eastAsia="华文仿宋" w:cs="华文仿宋"/>
                <w:szCs w:val="21"/>
              </w:rPr>
              <w:t>具备应用防假冒功能，至少支持通过安装安全客户端进行MD5值和应用程序名校验、及提取数据库的动态访问内容作为动态指纹两种方式实现应用防假冒；针对假冒应用，可进行行为阻断或告警。（投标时提供功能截图并加盖公章证明，及由工业和信息化部、国家知识产权局，中国软件测评中心之中任意一家权威机构出具的具备“防假冒”关键字技术文件）（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szCs w:val="21"/>
              </w:rPr>
              <w:t>★</w:t>
            </w:r>
            <w:r>
              <w:rPr>
                <w:rFonts w:hint="eastAsia" w:ascii="华文仿宋" w:hAnsi="华文仿宋" w:eastAsia="华文仿宋" w:cs="华文仿宋"/>
                <w:szCs w:val="21"/>
              </w:rPr>
              <w:t>可通过在数据库服务器安装探针，实现直连阻断、本地操作管控，防止非法身份绕过安全系统，违规对数据库进行访问。（提供功能截图并加盖公章）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具备账号托管功能，支持将真实数据库账号映射至自定义的托管账号，并通过OTP、或系统动态生成的动态码作为配套密码，实现运维人员通过托管账号及动态码校验即可访问数据库，防止因数据库帐密公开造成的泄露问题；动态码应当脱敏显示，查看动态码时应当输入平台密码进行二次校验，动态码支持在线手动更新、自定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8" w:hRule="atLeast"/>
        </w:trPr>
        <w:tc>
          <w:tcPr>
            <w:tcW w:w="594" w:type="pct"/>
            <w:vMerge w:val="restart"/>
            <w:vAlign w:val="center"/>
          </w:tcPr>
          <w:p>
            <w:pPr>
              <w:tabs>
                <w:tab w:val="left" w:pos="1962"/>
              </w:tabs>
              <w:jc w:val="center"/>
              <w:rPr>
                <w:rFonts w:hint="eastAsia" w:ascii="华文仿宋" w:hAnsi="华文仿宋" w:eastAsia="华文仿宋" w:cs="华文仿宋"/>
                <w:szCs w:val="21"/>
              </w:rPr>
            </w:pPr>
            <w:r>
              <w:rPr>
                <w:rFonts w:hint="eastAsia" w:ascii="华文仿宋" w:hAnsi="华文仿宋" w:eastAsia="华文仿宋" w:cs="华文仿宋"/>
                <w:szCs w:val="21"/>
              </w:rPr>
              <w:t>权限管控</w:t>
            </w: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针对敏感数据集合的访问，任何账户（包括DBA\SYSDBA\Schema User\any权限等用户）都需要通过授权才可以访问，对不具备访问权限的操作，明确阻断拒绝，实现用户权限分离管理。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szCs w:val="21"/>
              </w:rPr>
              <w:t>★</w:t>
            </w:r>
            <w:r>
              <w:rPr>
                <w:rFonts w:hint="eastAsia" w:ascii="华文仿宋" w:hAnsi="华文仿宋" w:eastAsia="华文仿宋" w:cs="华文仿宋"/>
                <w:szCs w:val="21"/>
              </w:rPr>
              <w:t>支持oracle同义词表访问管控。（</w:t>
            </w:r>
            <w:r>
              <w:rPr>
                <w:rFonts w:hint="eastAsia" w:ascii="华文仿宋" w:hAnsi="华文仿宋" w:eastAsia="华文仿宋" w:cs="华文仿宋"/>
                <w:szCs w:val="32"/>
              </w:rPr>
              <w:t>提供产品功能截图并提供通过CNAS认证的第三方检测机构出具的测试报告）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restart"/>
            <w:vAlign w:val="center"/>
          </w:tcPr>
          <w:p>
            <w:pPr>
              <w:tabs>
                <w:tab w:val="left" w:pos="1962"/>
              </w:tabs>
              <w:jc w:val="center"/>
              <w:rPr>
                <w:rFonts w:hint="eastAsia" w:ascii="华文仿宋" w:hAnsi="华文仿宋" w:eastAsia="华文仿宋" w:cs="华文仿宋"/>
                <w:szCs w:val="21"/>
              </w:rPr>
            </w:pPr>
            <w:r>
              <w:rPr>
                <w:rFonts w:hint="eastAsia" w:ascii="华文仿宋" w:hAnsi="华文仿宋" w:eastAsia="华文仿宋" w:cs="华文仿宋"/>
                <w:szCs w:val="21"/>
              </w:rPr>
              <w:t>SQL窗口</w:t>
            </w: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支持直接通过SQL窗口进行数据库操作，提供可审计、可管控的数据访问方式。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支持通过SQL窗口访问阻断时，可直接发起工单进行权限申请。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支持SQL输入时数据库对象与关键字智能提示、SQL美化。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支持SQL查询结果集可视化查看、修改、添加、删除，并通过访问身份进行权限控制。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 xml:space="preserve">支持对通过SQL窗口导出查询结果集的行为进行管控，并支持通过工单申请数据导出权限；结果集导出格式至少包含XLSX、CSV、TXT、SQL等。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支持查看及生成指定数据库表的DDL语句。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restart"/>
            <w:vAlign w:val="center"/>
          </w:tcPr>
          <w:p>
            <w:pPr>
              <w:tabs>
                <w:tab w:val="left" w:pos="1962"/>
              </w:tabs>
              <w:jc w:val="center"/>
              <w:rPr>
                <w:rFonts w:hint="eastAsia" w:ascii="华文仿宋" w:hAnsi="华文仿宋" w:eastAsia="华文仿宋" w:cs="华文仿宋"/>
                <w:szCs w:val="21"/>
              </w:rPr>
            </w:pPr>
            <w:r>
              <w:rPr>
                <w:rFonts w:hint="eastAsia" w:ascii="华文仿宋" w:hAnsi="华文仿宋" w:eastAsia="华文仿宋" w:cs="华文仿宋"/>
                <w:szCs w:val="21"/>
              </w:rPr>
              <w:t>敏感数据脱敏</w:t>
            </w:r>
          </w:p>
        </w:tc>
        <w:tc>
          <w:tcPr>
            <w:tcW w:w="4405" w:type="pct"/>
          </w:tcPr>
          <w:p>
            <w:pPr>
              <w:tabs>
                <w:tab w:val="left" w:pos="1962"/>
              </w:tabs>
              <w:rPr>
                <w:rFonts w:hint="eastAsia" w:ascii="华文仿宋" w:hAnsi="华文仿宋" w:eastAsia="华文仿宋" w:cs="华文仿宋"/>
                <w:szCs w:val="21"/>
              </w:rPr>
            </w:pPr>
            <w:r>
              <w:rPr>
                <w:rFonts w:hint="eastAsia" w:ascii="华文仿宋" w:hAnsi="华文仿宋" w:eastAsia="华文仿宋" w:cs="华文仿宋"/>
                <w:szCs w:val="21"/>
              </w:rPr>
              <w:t xml:space="preserve">支持数据脱敏，可通过自定义脱敏策略，实现通过运维工具进行数据访问时，部分字段可返回脱敏后的结果；应当支持对敏感类型进行自定义分段处理；脱敏算法至少支持空值、随机映射、遮盖、加密等。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21"/>
              </w:rPr>
            </w:pPr>
            <w:r>
              <w:rPr>
                <w:rFonts w:hint="eastAsia"/>
                <w:szCs w:val="21"/>
              </w:rPr>
              <w:t>★</w:t>
            </w:r>
            <w:r>
              <w:rPr>
                <w:rFonts w:hint="eastAsia" w:ascii="华文仿宋" w:hAnsi="华文仿宋" w:eastAsia="华文仿宋" w:cs="华文仿宋"/>
                <w:szCs w:val="21"/>
              </w:rPr>
              <w:t>支持MongoDB三层结构数据返回全解析，全脱敏。（投标时提供功能截图并加盖公章）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restart"/>
            <w:vAlign w:val="center"/>
          </w:tcPr>
          <w:p>
            <w:pPr>
              <w:tabs>
                <w:tab w:val="left" w:pos="1962"/>
              </w:tabs>
              <w:jc w:val="center"/>
              <w:rPr>
                <w:rFonts w:hint="eastAsia" w:ascii="华文仿宋" w:hAnsi="华文仿宋" w:eastAsia="华文仿宋" w:cs="华文仿宋"/>
                <w:szCs w:val="21"/>
              </w:rPr>
            </w:pPr>
            <w:r>
              <w:rPr>
                <w:rFonts w:hint="eastAsia" w:ascii="华文仿宋" w:hAnsi="华文仿宋" w:eastAsia="华文仿宋" w:cs="华文仿宋"/>
                <w:szCs w:val="21"/>
              </w:rPr>
              <w:t>安全防护</w:t>
            </w:r>
          </w:p>
        </w:tc>
        <w:tc>
          <w:tcPr>
            <w:tcW w:w="4405" w:type="pct"/>
          </w:tcPr>
          <w:p>
            <w:pPr>
              <w:tabs>
                <w:tab w:val="left" w:pos="1962"/>
              </w:tabs>
              <w:rPr>
                <w:rFonts w:hint="eastAsia" w:ascii="华文仿宋" w:hAnsi="华文仿宋" w:eastAsia="华文仿宋" w:cs="华文仿宋"/>
                <w:szCs w:val="32"/>
              </w:rPr>
            </w:pPr>
            <w:r>
              <w:rPr>
                <w:rFonts w:hint="eastAsia"/>
                <w:szCs w:val="21"/>
              </w:rPr>
              <w:t>★</w:t>
            </w:r>
            <w:r>
              <w:rPr>
                <w:rFonts w:hint="eastAsia" w:ascii="华文仿宋" w:hAnsi="华文仿宋" w:eastAsia="华文仿宋" w:cs="华文仿宋"/>
                <w:szCs w:val="21"/>
              </w:rPr>
              <w:t>支持误操作恢复，可在永久时间段或指定时间段内记录误操作的时间、数据库名称、SCHEMA、对象名称、SQL语句、恢复状态等信息；支持设置误操作前的数据保留时间；支持对DROP、Truncate类型的操作进行一键恢复。（投标时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pStyle w:val="6"/>
              <w:ind w:firstLine="210"/>
              <w:rPr>
                <w:rFonts w:hint="eastAsia" w:ascii="华文仿宋" w:hAnsi="华文仿宋" w:eastAsia="华文仿宋" w:cs="华文仿宋"/>
              </w:rPr>
            </w:pPr>
            <w:r>
              <w:rPr>
                <w:rFonts w:hint="eastAsia" w:ascii="华文仿宋" w:hAnsi="华文仿宋" w:eastAsia="华文仿宋" w:cs="华文仿宋"/>
                <w:sz w:val="21"/>
                <w:szCs w:val="21"/>
              </w:rPr>
              <w:t>支持僵尸账号检测，对僵尸账号进行永久锁定;支持数据库口令暴力破解防御;支持数据库防扫描，防止黑客或恶意用户对数据库进行扫描、侦查和探测。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restart"/>
            <w:vAlign w:val="center"/>
          </w:tcPr>
          <w:p>
            <w:pPr>
              <w:tabs>
                <w:tab w:val="left" w:pos="1962"/>
              </w:tabs>
              <w:jc w:val="center"/>
              <w:rPr>
                <w:rFonts w:hint="eastAsia" w:ascii="华文仿宋" w:hAnsi="华文仿宋" w:eastAsia="华文仿宋" w:cs="华文仿宋"/>
                <w:szCs w:val="21"/>
              </w:rPr>
            </w:pPr>
            <w:r>
              <w:rPr>
                <w:rFonts w:hint="eastAsia" w:ascii="华文仿宋" w:hAnsi="华文仿宋" w:eastAsia="华文仿宋" w:cs="华文仿宋"/>
                <w:szCs w:val="21"/>
              </w:rPr>
              <w:t>工单管理</w:t>
            </w:r>
          </w:p>
        </w:tc>
        <w:tc>
          <w:tcPr>
            <w:tcW w:w="4405" w:type="pct"/>
          </w:tcPr>
          <w:p>
            <w:pPr>
              <w:tabs>
                <w:tab w:val="left" w:pos="1962"/>
              </w:tabs>
              <w:rPr>
                <w:rFonts w:hint="eastAsia" w:ascii="华文仿宋" w:hAnsi="华文仿宋" w:eastAsia="华文仿宋" w:cs="华文仿宋"/>
                <w:szCs w:val="21"/>
              </w:rPr>
            </w:pPr>
            <w:r>
              <w:rPr>
                <w:rFonts w:hint="eastAsia"/>
                <w:szCs w:val="21"/>
              </w:rPr>
              <w:t>★</w:t>
            </w:r>
            <w:r>
              <w:rPr>
                <w:rFonts w:hint="eastAsia" w:ascii="华文仿宋" w:hAnsi="华文仿宋" w:eastAsia="华文仿宋" w:cs="华文仿宋"/>
                <w:szCs w:val="21"/>
              </w:rPr>
              <w:t>提供工单申请功能，可通过工单针对数据库登录、访问授权、自定义SQL执行、高危SQL执行等操作进行在线申请；工单采用逐级审批机制；实时展示待办工单审批状态；支持通过浙政钉进行移动端审批。（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94" w:type="pct"/>
            <w:vMerge w:val="continue"/>
            <w:vAlign w:val="center"/>
          </w:tcPr>
          <w:p>
            <w:pPr>
              <w:tabs>
                <w:tab w:val="left" w:pos="1962"/>
              </w:tabs>
              <w:jc w:val="center"/>
              <w:rPr>
                <w:rFonts w:hint="eastAsia" w:ascii="华文仿宋" w:hAnsi="华文仿宋" w:eastAsia="华文仿宋" w:cs="华文仿宋"/>
                <w:szCs w:val="21"/>
              </w:rPr>
            </w:pPr>
          </w:p>
        </w:tc>
        <w:tc>
          <w:tcPr>
            <w:tcW w:w="4405" w:type="pct"/>
          </w:tcPr>
          <w:p>
            <w:pPr>
              <w:tabs>
                <w:tab w:val="left" w:pos="1962"/>
              </w:tabs>
              <w:rPr>
                <w:rFonts w:hint="eastAsia" w:ascii="华文仿宋" w:hAnsi="华文仿宋" w:eastAsia="华文仿宋" w:cs="华文仿宋"/>
                <w:szCs w:val="32"/>
              </w:rPr>
            </w:pPr>
            <w:r>
              <w:rPr>
                <w:rFonts w:hint="eastAsia" w:ascii="华文仿宋" w:hAnsi="华文仿宋" w:eastAsia="华文仿宋" w:cs="华文仿宋"/>
                <w:szCs w:val="32"/>
              </w:rPr>
              <w:t>申请人员提交工单申请后，支持通过预先设定好的审批流程，根据工单申请涉及的不同数据库，流向不同的审批人员。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5000" w:type="pct"/>
            <w:gridSpan w:val="2"/>
            <w:vAlign w:val="center"/>
          </w:tcPr>
          <w:p>
            <w:pPr>
              <w:tabs>
                <w:tab w:val="left" w:pos="1962"/>
              </w:tabs>
            </w:pPr>
            <w:r>
              <w:rPr>
                <w:rFonts w:hint="eastAsia" w:ascii="华文仿宋" w:hAnsi="华文仿宋" w:eastAsia="华文仿宋" w:cs="华文仿宋"/>
                <w:b/>
                <w:bCs/>
                <w:sz w:val="28"/>
                <w:szCs w:val="28"/>
              </w:rPr>
              <w:t>三、API审计模块</w:t>
            </w:r>
          </w:p>
        </w:tc>
      </w:tr>
    </w:tbl>
    <w:tbl>
      <w:tblPr>
        <w:tblStyle w:val="9"/>
        <w:tblW w:w="5813" w:type="pct"/>
        <w:tblInd w:w="-5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93"/>
        <w:gridCol w:w="87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602" w:type="pct"/>
            <w:vMerge w:val="restart"/>
            <w:vAlign w:val="center"/>
          </w:tcPr>
          <w:p>
            <w:pPr>
              <w:tabs>
                <w:tab w:val="left" w:pos="1962"/>
              </w:tabs>
              <w:rPr>
                <w:rFonts w:hint="eastAsia" w:ascii="仿宋" w:hAnsi="仿宋" w:eastAsia="仿宋"/>
              </w:rPr>
            </w:pPr>
            <w:r>
              <w:rPr>
                <w:rFonts w:hint="eastAsia" w:ascii="仿宋" w:hAnsi="仿宋" w:eastAsia="仿宋"/>
              </w:rPr>
              <w:t>部署方式</w:t>
            </w:r>
          </w:p>
        </w:tc>
        <w:tc>
          <w:tcPr>
            <w:tcW w:w="4397" w:type="pct"/>
          </w:tcPr>
          <w:p>
            <w:pPr>
              <w:tabs>
                <w:tab w:val="left" w:pos="1962"/>
              </w:tabs>
              <w:rPr>
                <w:rFonts w:hint="eastAsia" w:ascii="仿宋" w:hAnsi="仿宋" w:eastAsia="仿宋"/>
              </w:rPr>
            </w:pPr>
            <w:r>
              <w:rPr>
                <w:rFonts w:ascii="仿宋" w:hAnsi="仿宋" w:eastAsia="仿宋"/>
              </w:rPr>
              <w:t>支持旁路部署，通过镜像流量</w:t>
            </w:r>
            <w:r>
              <w:rPr>
                <w:rFonts w:hint="eastAsia" w:ascii="仿宋" w:hAnsi="仿宋" w:eastAsia="仿宋"/>
              </w:rPr>
              <w:t>及探针引流方式</w:t>
            </w:r>
            <w:r>
              <w:rPr>
                <w:rFonts w:ascii="仿宋" w:hAnsi="仿宋" w:eastAsia="仿宋"/>
              </w:rPr>
              <w:t>进行分析</w:t>
            </w:r>
            <w:r>
              <w:rPr>
                <w:rFonts w:hint="eastAsia" w:ascii="仿宋" w:hAnsi="仿宋" w:eastAsia="仿宋"/>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3" w:hRule="atLeast"/>
        </w:trPr>
        <w:tc>
          <w:tcPr>
            <w:tcW w:w="602" w:type="pct"/>
            <w:vMerge w:val="continue"/>
            <w:vAlign w:val="center"/>
          </w:tcPr>
          <w:p>
            <w:pPr>
              <w:tabs>
                <w:tab w:val="left" w:pos="1962"/>
              </w:tabs>
              <w:rPr>
                <w:rFonts w:hint="eastAsia" w:ascii="仿宋" w:hAnsi="仿宋" w:eastAsia="仿宋"/>
              </w:rPr>
            </w:pPr>
          </w:p>
        </w:tc>
        <w:tc>
          <w:tcPr>
            <w:tcW w:w="4397" w:type="pct"/>
          </w:tcPr>
          <w:p>
            <w:pPr>
              <w:tabs>
                <w:tab w:val="left" w:pos="1962"/>
              </w:tabs>
              <w:rPr>
                <w:rFonts w:hint="eastAsia" w:ascii="仿宋" w:hAnsi="仿宋" w:eastAsia="仿宋"/>
              </w:rPr>
            </w:pPr>
            <w:r>
              <w:rPr>
                <w:rFonts w:ascii="仿宋" w:hAnsi="仿宋" w:eastAsia="仿宋"/>
              </w:rPr>
              <w:t>支持分布式部署，通过管理中心对分布式部署的各网关节点进行集中配置管理、分析、统计</w:t>
            </w:r>
            <w:r>
              <w:rPr>
                <w:rFonts w:hint="eastAsia" w:ascii="仿宋" w:hAnsi="仿宋" w:eastAsia="仿宋"/>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602" w:type="pct"/>
            <w:vAlign w:val="center"/>
          </w:tcPr>
          <w:p>
            <w:pPr>
              <w:tabs>
                <w:tab w:val="left" w:pos="1962"/>
              </w:tabs>
              <w:rPr>
                <w:rFonts w:hint="eastAsia" w:ascii="仿宋" w:hAnsi="仿宋" w:eastAsia="仿宋"/>
              </w:rPr>
            </w:pPr>
            <w:r>
              <w:rPr>
                <w:rFonts w:hint="eastAsia" w:ascii="仿宋" w:hAnsi="仿宋" w:eastAsia="仿宋"/>
              </w:rPr>
              <w:t>高可用</w:t>
            </w:r>
          </w:p>
        </w:tc>
        <w:tc>
          <w:tcPr>
            <w:tcW w:w="4397" w:type="pct"/>
          </w:tcPr>
          <w:p>
            <w:pPr>
              <w:tabs>
                <w:tab w:val="left" w:pos="1962"/>
              </w:tabs>
              <w:rPr>
                <w:rFonts w:hint="eastAsia" w:ascii="仿宋" w:hAnsi="仿宋" w:eastAsia="仿宋"/>
              </w:rPr>
            </w:pPr>
            <w:r>
              <w:rPr>
                <w:rFonts w:ascii="仿宋" w:hAnsi="仿宋" w:eastAsia="仿宋"/>
              </w:rPr>
              <w:t>支持集群，可随业务随时平滑扩展</w:t>
            </w:r>
            <w:r>
              <w:rPr>
                <w:rFonts w:hint="eastAsia" w:ascii="仿宋" w:hAnsi="仿宋" w:eastAsia="仿宋"/>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3" w:hRule="atLeast"/>
        </w:trPr>
        <w:tc>
          <w:tcPr>
            <w:tcW w:w="602" w:type="pct"/>
            <w:vMerge w:val="restart"/>
            <w:vAlign w:val="center"/>
          </w:tcPr>
          <w:p>
            <w:pPr>
              <w:tabs>
                <w:tab w:val="left" w:pos="1962"/>
              </w:tabs>
              <w:rPr>
                <w:rFonts w:hint="eastAsia" w:ascii="仿宋" w:hAnsi="仿宋" w:eastAsia="仿宋"/>
              </w:rPr>
            </w:pPr>
            <w:r>
              <w:rPr>
                <w:rFonts w:hint="eastAsia" w:ascii="仿宋" w:hAnsi="仿宋" w:eastAsia="仿宋"/>
              </w:rPr>
              <w:t>全面审计</w:t>
            </w:r>
          </w:p>
        </w:tc>
        <w:tc>
          <w:tcPr>
            <w:tcW w:w="4397" w:type="pct"/>
            <w:vAlign w:val="center"/>
          </w:tcPr>
          <w:p>
            <w:pPr>
              <w:tabs>
                <w:tab w:val="left" w:pos="1962"/>
              </w:tabs>
              <w:rPr>
                <w:rFonts w:hint="eastAsia" w:ascii="仿宋" w:hAnsi="仿宋" w:eastAsia="仿宋"/>
              </w:rPr>
            </w:pPr>
            <w:r>
              <w:rPr>
                <w:rFonts w:hint="eastAsia" w:ascii="仿宋" w:hAnsi="仿宋" w:eastAsia="仿宋"/>
              </w:rPr>
              <w:t>支持 http、https 协议解析审计，其中SSL 解密能力，包括 TLS1.1-TLS1.3 协议，无需客户提供证书；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602" w:type="pct"/>
            <w:vMerge w:val="continue"/>
            <w:vAlign w:val="center"/>
          </w:tcPr>
          <w:p>
            <w:pPr>
              <w:tabs>
                <w:tab w:val="left" w:pos="1962"/>
              </w:tabs>
              <w:rPr>
                <w:rFonts w:hint="eastAsia" w:ascii="仿宋" w:hAnsi="仿宋" w:eastAsia="仿宋"/>
              </w:rPr>
            </w:pPr>
          </w:p>
        </w:tc>
        <w:tc>
          <w:tcPr>
            <w:tcW w:w="4397" w:type="pct"/>
            <w:vAlign w:val="center"/>
          </w:tcPr>
          <w:p>
            <w:pPr>
              <w:tabs>
                <w:tab w:val="left" w:pos="1962"/>
              </w:tabs>
              <w:rPr>
                <w:rFonts w:hint="eastAsia" w:ascii="仿宋" w:hAnsi="仿宋" w:eastAsia="仿宋"/>
              </w:rPr>
            </w:pPr>
            <w:r>
              <w:rPr>
                <w:rFonts w:ascii="仿宋" w:hAnsi="仿宋" w:eastAsia="仿宋"/>
              </w:rPr>
              <w:t>支持对于GET、</w:t>
            </w:r>
            <w:r>
              <w:rPr>
                <w:rFonts w:hint="eastAsia" w:ascii="仿宋" w:hAnsi="仿宋" w:eastAsia="仿宋"/>
              </w:rPr>
              <w:t>POST、PUT、HEAD、DELECT、TRACE、OPTIONS、CONNECT、PATCH</w:t>
            </w:r>
            <w:r>
              <w:rPr>
                <w:rFonts w:ascii="仿宋" w:hAnsi="仿宋" w:eastAsia="仿宋"/>
              </w:rPr>
              <w:t>等</w:t>
            </w:r>
            <w:r>
              <w:rPr>
                <w:rFonts w:hint="eastAsia" w:ascii="仿宋" w:hAnsi="仿宋" w:eastAsia="仿宋"/>
              </w:rPr>
              <w:t>请求方式的API接口访问进行审计，</w:t>
            </w:r>
            <w:r>
              <w:rPr>
                <w:rFonts w:ascii="仿宋" w:hAnsi="仿宋" w:eastAsia="仿宋"/>
              </w:rPr>
              <w:t>审计内容能够完整记录</w:t>
            </w:r>
            <w:r>
              <w:rPr>
                <w:rFonts w:hint="eastAsia" w:ascii="仿宋" w:hAnsi="仿宋" w:eastAsia="仿宋"/>
              </w:rPr>
              <w:t>主体</w:t>
            </w:r>
            <w:r>
              <w:rPr>
                <w:rFonts w:ascii="仿宋" w:hAnsi="仿宋" w:eastAsia="仿宋"/>
              </w:rPr>
              <w:t>、</w:t>
            </w:r>
            <w:r>
              <w:rPr>
                <w:rFonts w:hint="eastAsia" w:ascii="仿宋" w:hAnsi="仿宋" w:eastAsia="仿宋"/>
              </w:rPr>
              <w:t>客体</w:t>
            </w:r>
            <w:r>
              <w:rPr>
                <w:rFonts w:ascii="仿宋" w:hAnsi="仿宋" w:eastAsia="仿宋"/>
              </w:rPr>
              <w:t>、</w:t>
            </w:r>
            <w:r>
              <w:rPr>
                <w:rFonts w:hint="eastAsia" w:ascii="仿宋" w:hAnsi="仿宋" w:eastAsia="仿宋"/>
              </w:rPr>
              <w:t>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602" w:type="pct"/>
            <w:vMerge w:val="continue"/>
            <w:vAlign w:val="center"/>
          </w:tcPr>
          <w:p>
            <w:pPr>
              <w:tabs>
                <w:tab w:val="left" w:pos="1962"/>
              </w:tabs>
              <w:rPr>
                <w:rFonts w:hint="eastAsia" w:ascii="仿宋" w:hAnsi="仿宋" w:eastAsia="仿宋"/>
              </w:rPr>
            </w:pPr>
          </w:p>
        </w:tc>
        <w:tc>
          <w:tcPr>
            <w:tcW w:w="4397" w:type="pct"/>
            <w:vAlign w:val="center"/>
          </w:tcPr>
          <w:p>
            <w:pPr>
              <w:tabs>
                <w:tab w:val="left" w:pos="1962"/>
              </w:tabs>
              <w:rPr>
                <w:rFonts w:hint="eastAsia" w:ascii="仿宋" w:hAnsi="仿宋" w:eastAsia="仿宋"/>
              </w:rPr>
            </w:pPr>
            <w:r>
              <w:rPr>
                <w:rFonts w:hint="eastAsia" w:ascii="仿宋" w:hAnsi="仿宋" w:eastAsia="仿宋"/>
              </w:rPr>
              <w:t>支持对通过 API 接口传输的类型文件进行识别，文件类型包含但不仅限于 doc、docx、xls、xlsx、ppt、pptx、pdf、zip、rar、jpeg、png等；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3" w:hRule="atLeast"/>
        </w:trPr>
        <w:tc>
          <w:tcPr>
            <w:tcW w:w="602" w:type="pct"/>
            <w:vMerge w:val="restart"/>
            <w:vAlign w:val="center"/>
          </w:tcPr>
          <w:p>
            <w:pPr>
              <w:tabs>
                <w:tab w:val="left" w:pos="1962"/>
              </w:tabs>
              <w:rPr>
                <w:rFonts w:hint="eastAsia" w:ascii="仿宋" w:hAnsi="仿宋" w:eastAsia="仿宋"/>
              </w:rPr>
            </w:pPr>
            <w:r>
              <w:rPr>
                <w:rFonts w:hint="eastAsia" w:ascii="仿宋" w:hAnsi="仿宋" w:eastAsia="仿宋"/>
              </w:rPr>
              <w:t>精准审计</w:t>
            </w:r>
          </w:p>
        </w:tc>
        <w:tc>
          <w:tcPr>
            <w:tcW w:w="4397" w:type="pct"/>
            <w:vAlign w:val="center"/>
          </w:tcPr>
          <w:p>
            <w:pPr>
              <w:tabs>
                <w:tab w:val="left" w:pos="1962"/>
              </w:tabs>
              <w:rPr>
                <w:rFonts w:hint="eastAsia" w:ascii="仿宋" w:hAnsi="仿宋" w:eastAsia="仿宋"/>
              </w:rPr>
            </w:pPr>
            <w:r>
              <w:rPr>
                <w:rFonts w:hint="eastAsia" w:ascii="仿宋" w:hAnsi="仿宋" w:eastAsia="仿宋"/>
              </w:rPr>
              <w:t>支持通过镜像流量或探针代理自动识别请求和返回中的API资产及应用资产，包括但不限于API的接口信息、参数信息、请求方法等内容；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602" w:type="pct"/>
            <w:vMerge w:val="continue"/>
            <w:vAlign w:val="center"/>
          </w:tcPr>
          <w:p>
            <w:pPr>
              <w:tabs>
                <w:tab w:val="left" w:pos="1962"/>
              </w:tabs>
              <w:rPr>
                <w:rFonts w:hint="eastAsia" w:ascii="仿宋" w:hAnsi="仿宋" w:eastAsia="仿宋"/>
              </w:rPr>
            </w:pPr>
          </w:p>
        </w:tc>
        <w:tc>
          <w:tcPr>
            <w:tcW w:w="4397" w:type="pct"/>
            <w:vAlign w:val="center"/>
          </w:tcPr>
          <w:p>
            <w:pPr>
              <w:tabs>
                <w:tab w:val="left" w:pos="1962"/>
              </w:tabs>
              <w:rPr>
                <w:rFonts w:hint="eastAsia" w:ascii="仿宋" w:hAnsi="仿宋" w:eastAsia="仿宋"/>
              </w:rPr>
            </w:pPr>
            <w:r>
              <w:rPr>
                <w:rFonts w:hint="eastAsia"/>
                <w:szCs w:val="21"/>
              </w:rPr>
              <w:t>★</w:t>
            </w:r>
            <w:r>
              <w:rPr>
                <w:rFonts w:hint="eastAsia" w:ascii="仿宋" w:hAnsi="仿宋" w:eastAsia="仿宋"/>
              </w:rPr>
              <w:t xml:space="preserve">支持通过黑白名单方式进行应用资产的发现过滤，支持通过正则、状态码、后缀三种方式对API资产进行发现过滤； </w:t>
            </w:r>
            <w:r>
              <w:rPr>
                <w:rFonts w:hint="eastAsia" w:ascii="华文仿宋" w:hAnsi="华文仿宋" w:eastAsia="华文仿宋" w:cs="华文仿宋"/>
                <w:szCs w:val="21"/>
              </w:rPr>
              <w:t>（提供功能截图并加盖公章）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602" w:type="pct"/>
            <w:vMerge w:val="continue"/>
            <w:vAlign w:val="center"/>
          </w:tcPr>
          <w:p>
            <w:pPr>
              <w:tabs>
                <w:tab w:val="left" w:pos="1962"/>
              </w:tabs>
              <w:rPr>
                <w:rFonts w:hint="eastAsia" w:ascii="仿宋" w:hAnsi="仿宋" w:eastAsia="仿宋"/>
              </w:rPr>
            </w:pPr>
          </w:p>
        </w:tc>
        <w:tc>
          <w:tcPr>
            <w:tcW w:w="4397" w:type="pct"/>
            <w:vAlign w:val="center"/>
          </w:tcPr>
          <w:p>
            <w:pPr>
              <w:tabs>
                <w:tab w:val="left" w:pos="1962"/>
              </w:tabs>
              <w:rPr>
                <w:rFonts w:hint="eastAsia" w:ascii="仿宋" w:hAnsi="仿宋" w:eastAsia="仿宋"/>
              </w:rPr>
            </w:pPr>
            <w:r>
              <w:rPr>
                <w:rFonts w:hint="eastAsia"/>
                <w:szCs w:val="21"/>
              </w:rPr>
              <w:t>★</w:t>
            </w:r>
            <w:r>
              <w:rPr>
                <w:rFonts w:hint="eastAsia" w:ascii="仿宋" w:hAnsi="仿宋" w:eastAsia="仿宋"/>
              </w:rPr>
              <w:t>支持对</w:t>
            </w:r>
            <w:r>
              <w:rPr>
                <w:rFonts w:ascii="仿宋" w:hAnsi="仿宋" w:eastAsia="仿宋"/>
              </w:rPr>
              <w:t>API审计进行全局策略配置，至少支持</w:t>
            </w:r>
            <w:r>
              <w:rPr>
                <w:rFonts w:hint="eastAsia" w:ascii="仿宋" w:hAnsi="仿宋" w:eastAsia="仿宋"/>
              </w:rPr>
              <w:t>流量解析方向、返回内容保存大小的配置；支持对单个应用进行特例的策略配置。</w:t>
            </w:r>
            <w:r>
              <w:rPr>
                <w:rFonts w:hint="eastAsia" w:ascii="华文仿宋" w:hAnsi="华文仿宋" w:eastAsia="华文仿宋" w:cs="华文仿宋"/>
                <w:szCs w:val="21"/>
              </w:rPr>
              <w:t>（提供功能截图并加盖公章）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602" w:type="pct"/>
            <w:vMerge w:val="restart"/>
            <w:vAlign w:val="center"/>
          </w:tcPr>
          <w:p>
            <w:pPr>
              <w:tabs>
                <w:tab w:val="left" w:pos="1962"/>
              </w:tabs>
              <w:rPr>
                <w:rFonts w:hint="eastAsia" w:ascii="仿宋" w:hAnsi="仿宋" w:eastAsia="仿宋"/>
              </w:rPr>
            </w:pPr>
            <w:r>
              <w:rPr>
                <w:rFonts w:hint="eastAsia" w:ascii="仿宋" w:hAnsi="仿宋" w:eastAsia="仿宋"/>
              </w:rPr>
              <w:t>链路回溯</w:t>
            </w:r>
          </w:p>
        </w:tc>
        <w:tc>
          <w:tcPr>
            <w:tcW w:w="4397" w:type="pct"/>
            <w:vAlign w:val="center"/>
          </w:tcPr>
          <w:p>
            <w:pPr>
              <w:tabs>
                <w:tab w:val="left" w:pos="1962"/>
              </w:tabs>
              <w:rPr>
                <w:rFonts w:hint="eastAsia" w:ascii="仿宋" w:hAnsi="仿宋" w:eastAsia="仿宋"/>
              </w:rPr>
            </w:pPr>
            <w:r>
              <w:rPr>
                <w:rFonts w:hint="eastAsia" w:ascii="仿宋" w:hAnsi="仿宋" w:eastAsia="仿宋"/>
              </w:rPr>
              <w:t>支持基于数据内容、文件、敏感类型和调用时间等多种条件进行组合后溯源；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602" w:type="pct"/>
            <w:vMerge w:val="continue"/>
            <w:vAlign w:val="center"/>
          </w:tcPr>
          <w:p>
            <w:pPr>
              <w:tabs>
                <w:tab w:val="left" w:pos="1962"/>
              </w:tabs>
              <w:rPr>
                <w:rFonts w:hint="eastAsia" w:ascii="仿宋" w:hAnsi="仿宋" w:eastAsia="仿宋"/>
              </w:rPr>
            </w:pPr>
          </w:p>
        </w:tc>
        <w:tc>
          <w:tcPr>
            <w:tcW w:w="4397" w:type="pct"/>
            <w:vAlign w:val="center"/>
          </w:tcPr>
          <w:p>
            <w:pPr>
              <w:tabs>
                <w:tab w:val="left" w:pos="1962"/>
              </w:tabs>
              <w:rPr>
                <w:rFonts w:hint="eastAsia" w:ascii="仿宋" w:hAnsi="仿宋" w:eastAsia="仿宋"/>
              </w:rPr>
            </w:pPr>
            <w:r>
              <w:rPr>
                <w:rFonts w:hint="eastAsia"/>
                <w:szCs w:val="21"/>
              </w:rPr>
              <w:t>★</w:t>
            </w:r>
            <w:r>
              <w:rPr>
                <w:rFonts w:hint="eastAsia" w:ascii="仿宋" w:hAnsi="仿宋" w:eastAsia="仿宋"/>
              </w:rPr>
              <w:t xml:space="preserve">关联应用和数据库访问链路，形成完整的数据访问拓扑图； </w:t>
            </w:r>
            <w:r>
              <w:rPr>
                <w:rFonts w:hint="eastAsia" w:ascii="华文仿宋" w:hAnsi="华文仿宋" w:eastAsia="华文仿宋" w:cs="华文仿宋"/>
                <w:szCs w:val="21"/>
              </w:rPr>
              <w:t>（提供功能截图并加盖公章）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trPr>
        <w:tc>
          <w:tcPr>
            <w:tcW w:w="5000" w:type="pct"/>
            <w:gridSpan w:val="2"/>
            <w:vAlign w:val="center"/>
          </w:tcPr>
          <w:p>
            <w:pPr>
              <w:tabs>
                <w:tab w:val="left" w:pos="1962"/>
              </w:tabs>
              <w:rPr>
                <w:rFonts w:hint="eastAsia" w:ascii="仿宋" w:hAnsi="仿宋" w:eastAsia="仿宋"/>
              </w:rPr>
            </w:pPr>
            <w:r>
              <w:rPr>
                <w:rFonts w:hint="eastAsia" w:ascii="仿宋" w:hAnsi="仿宋" w:eastAsia="仿宋"/>
                <w:b/>
                <w:bCs/>
                <w:sz w:val="28"/>
                <w:szCs w:val="28"/>
              </w:rPr>
              <w:t>四、API管控模块</w:t>
            </w:r>
          </w:p>
        </w:tc>
      </w:tr>
    </w:tbl>
    <w:tbl>
      <w:tblPr>
        <w:tblStyle w:val="12"/>
        <w:tblW w:w="5820" w:type="pct"/>
        <w:tblInd w:w="-5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0"/>
        <w:gridCol w:w="88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3" w:hRule="atLeast"/>
        </w:trPr>
        <w:tc>
          <w:tcPr>
            <w:tcW w:w="534" w:type="pct"/>
            <w:vMerge w:val="restart"/>
            <w:vAlign w:val="center"/>
          </w:tcPr>
          <w:p>
            <w:pPr>
              <w:tabs>
                <w:tab w:val="left" w:pos="1962"/>
              </w:tabs>
              <w:rPr>
                <w:rFonts w:hint="eastAsia" w:ascii="仿宋" w:hAnsi="仿宋" w:eastAsia="仿宋"/>
              </w:rPr>
            </w:pPr>
            <w:r>
              <w:rPr>
                <w:rFonts w:hint="eastAsia" w:ascii="仿宋" w:hAnsi="仿宋" w:eastAsia="仿宋"/>
              </w:rPr>
              <w:t>部署方式</w:t>
            </w:r>
          </w:p>
        </w:tc>
        <w:tc>
          <w:tcPr>
            <w:tcW w:w="4465" w:type="pct"/>
          </w:tcPr>
          <w:p>
            <w:pPr>
              <w:tabs>
                <w:tab w:val="left" w:pos="1962"/>
              </w:tabs>
              <w:rPr>
                <w:rFonts w:hint="eastAsia" w:ascii="仿宋" w:hAnsi="仿宋" w:eastAsia="仿宋"/>
              </w:rPr>
            </w:pPr>
            <w:r>
              <w:rPr>
                <w:rFonts w:ascii="仿宋" w:hAnsi="仿宋" w:eastAsia="仿宋"/>
              </w:rPr>
              <w:t>支持旁路部署，通过镜像流量</w:t>
            </w:r>
            <w:r>
              <w:rPr>
                <w:rFonts w:hint="eastAsia" w:ascii="仿宋" w:hAnsi="仿宋" w:eastAsia="仿宋"/>
              </w:rPr>
              <w:t>及探针引流方式</w:t>
            </w:r>
            <w:r>
              <w:rPr>
                <w:rFonts w:ascii="仿宋" w:hAnsi="仿宋" w:eastAsia="仿宋"/>
              </w:rPr>
              <w:t>进行分析</w:t>
            </w:r>
            <w:r>
              <w:rPr>
                <w:rFonts w:hint="eastAsia" w:ascii="仿宋" w:hAnsi="仿宋" w:eastAsia="仿宋"/>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34" w:type="pct"/>
            <w:vMerge w:val="continue"/>
            <w:vAlign w:val="center"/>
          </w:tcPr>
          <w:p>
            <w:pPr>
              <w:tabs>
                <w:tab w:val="left" w:pos="1962"/>
              </w:tabs>
              <w:rPr>
                <w:rFonts w:hint="eastAsia" w:ascii="仿宋" w:hAnsi="仿宋" w:eastAsia="仿宋"/>
              </w:rPr>
            </w:pPr>
          </w:p>
        </w:tc>
        <w:tc>
          <w:tcPr>
            <w:tcW w:w="4465" w:type="pct"/>
          </w:tcPr>
          <w:p>
            <w:pPr>
              <w:tabs>
                <w:tab w:val="left" w:pos="1962"/>
              </w:tabs>
              <w:rPr>
                <w:rFonts w:hint="eastAsia" w:ascii="仿宋" w:hAnsi="仿宋" w:eastAsia="仿宋"/>
              </w:rPr>
            </w:pPr>
            <w:r>
              <w:rPr>
                <w:rFonts w:ascii="仿宋" w:hAnsi="仿宋" w:eastAsia="仿宋"/>
              </w:rPr>
              <w:t>支持分布式部署，通过管理中心对分布式部署的各网关节点进行集中配置管理、分析、统计</w:t>
            </w:r>
            <w:r>
              <w:rPr>
                <w:rFonts w:hint="eastAsia" w:ascii="仿宋" w:hAnsi="仿宋" w:eastAsia="仿宋"/>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34" w:type="pct"/>
            <w:vMerge w:val="continue"/>
            <w:vAlign w:val="center"/>
          </w:tcPr>
          <w:p>
            <w:pPr>
              <w:tabs>
                <w:tab w:val="left" w:pos="1962"/>
              </w:tabs>
              <w:rPr>
                <w:rFonts w:hint="eastAsia" w:ascii="仿宋" w:hAnsi="仿宋" w:eastAsia="仿宋"/>
              </w:rPr>
            </w:pPr>
          </w:p>
        </w:tc>
        <w:tc>
          <w:tcPr>
            <w:tcW w:w="4465" w:type="pct"/>
          </w:tcPr>
          <w:p>
            <w:pPr>
              <w:tabs>
                <w:tab w:val="left" w:pos="1962"/>
              </w:tabs>
              <w:rPr>
                <w:rFonts w:hint="eastAsia" w:ascii="仿宋" w:hAnsi="仿宋" w:eastAsia="仿宋"/>
              </w:rPr>
            </w:pPr>
            <w:r>
              <w:rPr>
                <w:rFonts w:hint="eastAsia" w:ascii="仿宋" w:hAnsi="仿宋" w:eastAsia="仿宋"/>
              </w:rPr>
              <w:t>通过探针代理方式进行透明部署，对业务无感；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3" w:hRule="atLeast"/>
        </w:trPr>
        <w:tc>
          <w:tcPr>
            <w:tcW w:w="534" w:type="pct"/>
            <w:vMerge w:val="restart"/>
            <w:vAlign w:val="center"/>
          </w:tcPr>
          <w:p>
            <w:pPr>
              <w:tabs>
                <w:tab w:val="left" w:pos="1962"/>
              </w:tabs>
              <w:rPr>
                <w:rFonts w:hint="eastAsia" w:ascii="仿宋" w:hAnsi="仿宋" w:eastAsia="仿宋"/>
              </w:rPr>
            </w:pPr>
            <w:r>
              <w:rPr>
                <w:rFonts w:hint="eastAsia" w:ascii="仿宋" w:hAnsi="仿宋" w:eastAsia="仿宋"/>
              </w:rPr>
              <w:t>API脱敏</w:t>
            </w:r>
            <w:r>
              <w:rPr>
                <w:rFonts w:hint="eastAsia"/>
                <w:szCs w:val="21"/>
              </w:rPr>
              <w:t>★</w:t>
            </w:r>
          </w:p>
        </w:tc>
        <w:tc>
          <w:tcPr>
            <w:tcW w:w="4465" w:type="pct"/>
            <w:vAlign w:val="center"/>
          </w:tcPr>
          <w:p>
            <w:pPr>
              <w:tabs>
                <w:tab w:val="left" w:pos="1962"/>
              </w:tabs>
              <w:rPr>
                <w:rFonts w:hint="eastAsia" w:ascii="仿宋" w:hAnsi="仿宋" w:eastAsia="仿宋"/>
              </w:rPr>
            </w:pPr>
            <w:r>
              <w:rPr>
                <w:rFonts w:hint="eastAsia" w:ascii="仿宋" w:hAnsi="仿宋" w:eastAsia="仿宋"/>
              </w:rPr>
              <w:t>支持遮盖、固定/随机值替换、空值等不同的脱敏算法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3" w:hRule="atLeast"/>
        </w:trPr>
        <w:tc>
          <w:tcPr>
            <w:tcW w:w="534" w:type="pct"/>
            <w:vMerge w:val="continue"/>
            <w:vAlign w:val="center"/>
          </w:tcPr>
          <w:p>
            <w:pPr>
              <w:tabs>
                <w:tab w:val="left" w:pos="1962"/>
              </w:tabs>
              <w:rPr>
                <w:rFonts w:hint="eastAsia" w:ascii="仿宋" w:hAnsi="仿宋" w:eastAsia="仿宋"/>
              </w:rPr>
            </w:pPr>
          </w:p>
        </w:tc>
        <w:tc>
          <w:tcPr>
            <w:tcW w:w="4465" w:type="pct"/>
            <w:vAlign w:val="center"/>
          </w:tcPr>
          <w:p>
            <w:pPr>
              <w:tabs>
                <w:tab w:val="left" w:pos="1962"/>
              </w:tabs>
              <w:rPr>
                <w:rFonts w:hint="eastAsia" w:ascii="仿宋" w:hAnsi="仿宋" w:eastAsia="仿宋"/>
              </w:rPr>
            </w:pPr>
            <w:r>
              <w:rPr>
                <w:rFonts w:hint="eastAsia" w:ascii="仿宋" w:hAnsi="仿宋" w:eastAsia="仿宋"/>
              </w:rPr>
              <w:t>内置身份证、地址等常见敏感类型的脱敏规则；支持用户对敏感类型进行自定义的脱敏规则设置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34" w:type="pct"/>
            <w:vMerge w:val="continue"/>
            <w:vAlign w:val="center"/>
          </w:tcPr>
          <w:p>
            <w:pPr>
              <w:tabs>
                <w:tab w:val="left" w:pos="1962"/>
              </w:tabs>
              <w:rPr>
                <w:rFonts w:hint="eastAsia" w:ascii="仿宋" w:hAnsi="仿宋" w:eastAsia="仿宋"/>
              </w:rPr>
            </w:pPr>
          </w:p>
        </w:tc>
        <w:tc>
          <w:tcPr>
            <w:tcW w:w="4465" w:type="pct"/>
            <w:vAlign w:val="center"/>
          </w:tcPr>
          <w:p>
            <w:pPr>
              <w:tabs>
                <w:tab w:val="left" w:pos="1962"/>
              </w:tabs>
              <w:rPr>
                <w:rFonts w:hint="eastAsia" w:ascii="仿宋" w:hAnsi="仿宋" w:eastAsia="仿宋"/>
              </w:rPr>
            </w:pPr>
            <w:r>
              <w:rPr>
                <w:rFonts w:hint="eastAsia" w:ascii="仿宋" w:hAnsi="仿宋" w:eastAsia="仿宋"/>
              </w:rPr>
              <w:t>支持对API接口字段根据长度或特殊字符进行分段后对指定段落进行脱敏</w:t>
            </w:r>
            <w:r>
              <w:rPr>
                <w:rFonts w:ascii="仿宋" w:hAnsi="仿宋" w:eastAsia="仿宋"/>
              </w:rPr>
              <w:t>（投标时提供功能截图）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3" w:hRule="atLeast"/>
        </w:trPr>
        <w:tc>
          <w:tcPr>
            <w:tcW w:w="534" w:type="pct"/>
            <w:vMerge w:val="continue"/>
            <w:vAlign w:val="center"/>
          </w:tcPr>
          <w:p>
            <w:pPr>
              <w:tabs>
                <w:tab w:val="left" w:pos="1962"/>
              </w:tabs>
              <w:rPr>
                <w:rFonts w:hint="eastAsia" w:ascii="仿宋" w:hAnsi="仿宋" w:eastAsia="仿宋"/>
              </w:rPr>
            </w:pPr>
          </w:p>
        </w:tc>
        <w:tc>
          <w:tcPr>
            <w:tcW w:w="4465" w:type="pct"/>
            <w:vAlign w:val="center"/>
          </w:tcPr>
          <w:p>
            <w:pPr>
              <w:tabs>
                <w:tab w:val="left" w:pos="1962"/>
              </w:tabs>
              <w:rPr>
                <w:rFonts w:hint="eastAsia" w:ascii="仿宋" w:hAnsi="仿宋" w:eastAsia="仿宋"/>
              </w:rPr>
            </w:pPr>
            <w:r>
              <w:rPr>
                <w:rFonts w:hint="eastAsia" w:ascii="仿宋" w:hAnsi="仿宋" w:eastAsia="仿宋"/>
              </w:rPr>
              <w:t xml:space="preserve">支持根据不同身份及身份因子，对API接口中敏感数据进行差异化脱敏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34" w:type="pct"/>
            <w:vMerge w:val="restart"/>
            <w:vAlign w:val="center"/>
          </w:tcPr>
          <w:p>
            <w:pPr>
              <w:tabs>
                <w:tab w:val="left" w:pos="1962"/>
              </w:tabs>
              <w:rPr>
                <w:rFonts w:hint="eastAsia" w:ascii="仿宋" w:hAnsi="仿宋" w:eastAsia="仿宋"/>
              </w:rPr>
            </w:pPr>
            <w:r>
              <w:rPr>
                <w:rFonts w:hint="eastAsia" w:ascii="仿宋" w:hAnsi="仿宋" w:eastAsia="仿宋"/>
              </w:rPr>
              <w:t>API水印</w:t>
            </w:r>
          </w:p>
        </w:tc>
        <w:tc>
          <w:tcPr>
            <w:tcW w:w="4465" w:type="pct"/>
            <w:vAlign w:val="center"/>
          </w:tcPr>
          <w:p>
            <w:pPr>
              <w:tabs>
                <w:tab w:val="left" w:pos="1962"/>
              </w:tabs>
              <w:rPr>
                <w:rFonts w:hint="eastAsia" w:ascii="仿宋" w:hAnsi="仿宋" w:eastAsia="仿宋"/>
              </w:rPr>
            </w:pPr>
            <w:r>
              <w:rPr>
                <w:rFonts w:hint="eastAsia"/>
                <w:szCs w:val="21"/>
              </w:rPr>
              <w:t>★</w:t>
            </w:r>
            <w:r>
              <w:rPr>
                <w:rFonts w:hint="eastAsia" w:ascii="仿宋" w:hAnsi="仿宋" w:eastAsia="仿宋"/>
              </w:rPr>
              <w:t xml:space="preserve">支持根据不同身份及身份因子，对不同API接口范围中进行水印加注，支持通过应用、接口、接口类型等不同维度筛选接口； </w:t>
            </w:r>
            <w:r>
              <w:rPr>
                <w:rFonts w:ascii="仿宋" w:hAnsi="仿宋" w:eastAsia="仿宋"/>
              </w:rPr>
              <w:t>（投标时提供功能截图）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34" w:type="pct"/>
            <w:vMerge w:val="continue"/>
            <w:vAlign w:val="center"/>
          </w:tcPr>
          <w:p>
            <w:pPr>
              <w:tabs>
                <w:tab w:val="left" w:pos="1962"/>
              </w:tabs>
              <w:rPr>
                <w:rFonts w:hint="eastAsia" w:ascii="仿宋" w:hAnsi="仿宋" w:eastAsia="仿宋"/>
              </w:rPr>
            </w:pPr>
          </w:p>
        </w:tc>
        <w:tc>
          <w:tcPr>
            <w:tcW w:w="4465" w:type="pct"/>
            <w:vAlign w:val="center"/>
          </w:tcPr>
          <w:p>
            <w:pPr>
              <w:tabs>
                <w:tab w:val="left" w:pos="1962"/>
              </w:tabs>
              <w:rPr>
                <w:rFonts w:hint="eastAsia" w:ascii="仿宋" w:hAnsi="仿宋" w:eastAsia="仿宋"/>
              </w:rPr>
            </w:pPr>
            <w:r>
              <w:rPr>
                <w:rFonts w:hint="eastAsia" w:ascii="仿宋" w:hAnsi="仿宋" w:eastAsia="仿宋"/>
              </w:rPr>
              <w:t>支持普通水印类型及调用链两种水印类型，针对不同的数据外发场景提供差异化水印能力；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34" w:type="pct"/>
            <w:vMerge w:val="continue"/>
            <w:vAlign w:val="center"/>
          </w:tcPr>
          <w:p>
            <w:pPr>
              <w:tabs>
                <w:tab w:val="left" w:pos="1962"/>
              </w:tabs>
              <w:rPr>
                <w:rFonts w:hint="eastAsia" w:ascii="仿宋" w:hAnsi="仿宋" w:eastAsia="仿宋"/>
              </w:rPr>
            </w:pPr>
          </w:p>
        </w:tc>
        <w:tc>
          <w:tcPr>
            <w:tcW w:w="4465" w:type="pct"/>
            <w:vAlign w:val="center"/>
          </w:tcPr>
          <w:p>
            <w:pPr>
              <w:tabs>
                <w:tab w:val="left" w:pos="1962"/>
              </w:tabs>
              <w:rPr>
                <w:rFonts w:hint="eastAsia" w:ascii="仿宋" w:hAnsi="仿宋" w:eastAsia="仿宋"/>
              </w:rPr>
            </w:pPr>
            <w:r>
              <w:rPr>
                <w:rFonts w:hint="eastAsia"/>
                <w:szCs w:val="21"/>
              </w:rPr>
              <w:t>★</w:t>
            </w:r>
            <w:r>
              <w:rPr>
                <w:rFonts w:hint="eastAsia" w:ascii="仿宋" w:hAnsi="仿宋" w:eastAsia="仿宋"/>
              </w:rPr>
              <w:t>根据API接口的调用行为自动生成水印码，无需用户手动维护；</w:t>
            </w:r>
            <w:r>
              <w:rPr>
                <w:rFonts w:ascii="仿宋" w:hAnsi="仿宋" w:eastAsia="仿宋"/>
              </w:rPr>
              <w:t>（投标时提供功能截图）</w:t>
            </w:r>
            <w:r>
              <w:rPr>
                <w:rFonts w:hint="eastAsia" w:ascii="仿宋" w:hAnsi="仿宋" w:eastAsia="仿宋"/>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3" w:hRule="atLeast"/>
        </w:trPr>
        <w:tc>
          <w:tcPr>
            <w:tcW w:w="534" w:type="pct"/>
            <w:vMerge w:val="continue"/>
            <w:vAlign w:val="center"/>
          </w:tcPr>
          <w:p>
            <w:pPr>
              <w:tabs>
                <w:tab w:val="left" w:pos="1962"/>
              </w:tabs>
              <w:rPr>
                <w:rFonts w:hint="eastAsia" w:ascii="仿宋" w:hAnsi="仿宋" w:eastAsia="仿宋"/>
              </w:rPr>
            </w:pPr>
          </w:p>
        </w:tc>
        <w:tc>
          <w:tcPr>
            <w:tcW w:w="4465" w:type="pct"/>
            <w:vAlign w:val="center"/>
          </w:tcPr>
          <w:p>
            <w:pPr>
              <w:tabs>
                <w:tab w:val="left" w:pos="1962"/>
              </w:tabs>
              <w:rPr>
                <w:rFonts w:hint="eastAsia" w:ascii="仿宋" w:hAnsi="仿宋" w:eastAsia="仿宋"/>
              </w:rPr>
            </w:pPr>
            <w:r>
              <w:rPr>
                <w:rFonts w:hint="eastAsia" w:ascii="仿宋" w:hAnsi="仿宋" w:eastAsia="仿宋"/>
              </w:rPr>
              <w:t>提供API接口的溯源能力，溯源文件中支持直接将json报文进行上传，或已落数据库的行列数据导出进行上传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34" w:type="pct"/>
            <w:vMerge w:val="restart"/>
            <w:vAlign w:val="center"/>
          </w:tcPr>
          <w:p>
            <w:pPr>
              <w:tabs>
                <w:tab w:val="left" w:pos="1962"/>
              </w:tabs>
              <w:rPr>
                <w:rFonts w:hint="eastAsia" w:ascii="仿宋" w:hAnsi="仿宋" w:eastAsia="仿宋"/>
              </w:rPr>
            </w:pPr>
            <w:r>
              <w:rPr>
                <w:rFonts w:hint="eastAsia" w:ascii="仿宋" w:hAnsi="仿宋" w:eastAsia="仿宋"/>
              </w:rPr>
              <w:t>链路回溯</w:t>
            </w:r>
          </w:p>
        </w:tc>
        <w:tc>
          <w:tcPr>
            <w:tcW w:w="4465" w:type="pct"/>
            <w:vAlign w:val="center"/>
          </w:tcPr>
          <w:p>
            <w:pPr>
              <w:tabs>
                <w:tab w:val="left" w:pos="1962"/>
              </w:tabs>
              <w:rPr>
                <w:rFonts w:hint="eastAsia" w:ascii="仿宋" w:hAnsi="仿宋" w:eastAsia="仿宋"/>
              </w:rPr>
            </w:pPr>
            <w:r>
              <w:rPr>
                <w:rFonts w:hint="eastAsia" w:ascii="仿宋" w:hAnsi="仿宋" w:eastAsia="仿宋"/>
              </w:rPr>
              <w:t>支持基于数据内容、文件、敏感类型和调用时间等多种条件进行组合后溯源；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34" w:type="pct"/>
            <w:vMerge w:val="continue"/>
            <w:vAlign w:val="center"/>
          </w:tcPr>
          <w:p>
            <w:pPr>
              <w:tabs>
                <w:tab w:val="left" w:pos="1962"/>
              </w:tabs>
              <w:rPr>
                <w:rFonts w:hint="eastAsia" w:ascii="仿宋" w:hAnsi="仿宋" w:eastAsia="仿宋"/>
              </w:rPr>
            </w:pPr>
          </w:p>
        </w:tc>
        <w:tc>
          <w:tcPr>
            <w:tcW w:w="4465" w:type="pct"/>
            <w:vAlign w:val="center"/>
          </w:tcPr>
          <w:p>
            <w:pPr>
              <w:tabs>
                <w:tab w:val="left" w:pos="1962"/>
              </w:tabs>
              <w:rPr>
                <w:rFonts w:hint="eastAsia" w:ascii="仿宋" w:hAnsi="仿宋" w:eastAsia="仿宋"/>
              </w:rPr>
            </w:pPr>
            <w:r>
              <w:rPr>
                <w:rFonts w:hint="eastAsia"/>
                <w:szCs w:val="21"/>
              </w:rPr>
              <w:t>★</w:t>
            </w:r>
            <w:r>
              <w:rPr>
                <w:rFonts w:hint="eastAsia" w:ascii="仿宋" w:hAnsi="仿宋" w:eastAsia="仿宋"/>
              </w:rPr>
              <w:t xml:space="preserve">关联应用和数据库访问链路，形成完整的数据访问拓扑图； </w:t>
            </w:r>
            <w:r>
              <w:rPr>
                <w:rFonts w:ascii="仿宋" w:hAnsi="仿宋" w:eastAsia="仿宋"/>
              </w:rPr>
              <w:t>（投标时提供功能截图）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534" w:type="pct"/>
            <w:vAlign w:val="center"/>
          </w:tcPr>
          <w:p>
            <w:pPr>
              <w:tabs>
                <w:tab w:val="left" w:pos="1962"/>
              </w:tabs>
              <w:rPr>
                <w:rFonts w:hint="eastAsia" w:ascii="仿宋" w:hAnsi="仿宋" w:eastAsia="仿宋"/>
              </w:rPr>
            </w:pPr>
            <w:r>
              <w:rPr>
                <w:rFonts w:ascii="仿宋" w:hAnsi="仿宋" w:eastAsia="仿宋"/>
              </w:rPr>
              <w:t>API管控</w:t>
            </w:r>
            <w:r>
              <w:rPr>
                <w:rFonts w:hint="eastAsia"/>
                <w:szCs w:val="21"/>
              </w:rPr>
              <w:t>★</w:t>
            </w:r>
          </w:p>
        </w:tc>
        <w:tc>
          <w:tcPr>
            <w:tcW w:w="4465" w:type="pct"/>
            <w:vAlign w:val="center"/>
          </w:tcPr>
          <w:p>
            <w:pPr>
              <w:tabs>
                <w:tab w:val="left" w:pos="1962"/>
              </w:tabs>
              <w:rPr>
                <w:rFonts w:hint="eastAsia" w:ascii="仿宋" w:hAnsi="仿宋" w:eastAsia="仿宋"/>
              </w:rPr>
            </w:pPr>
            <w:r>
              <w:rPr>
                <w:rFonts w:hint="eastAsia" w:ascii="仿宋" w:hAnsi="仿宋" w:eastAsia="仿宋"/>
              </w:rPr>
              <w:t>支持根据不同身份及身份因子，针对</w:t>
            </w:r>
            <w:r>
              <w:rPr>
                <w:rFonts w:ascii="仿宋" w:hAnsi="仿宋" w:eastAsia="仿宋"/>
              </w:rPr>
              <w:t>API接口访问频次、单日请求次数、单日获取敏感数据次数等维度设置对API接口的访问进行控制（投标时提供功能截图）</w:t>
            </w:r>
          </w:p>
        </w:tc>
      </w:tr>
    </w:tbl>
    <w:p>
      <w:pPr>
        <w:spacing w:line="288" w:lineRule="auto"/>
        <w:jc w:val="left"/>
        <w:outlineLvl w:val="1"/>
        <w:rPr>
          <w:rFonts w:hint="eastAsia" w:ascii="华文仿宋" w:hAnsi="华文仿宋" w:eastAsia="华文仿宋" w:cs="华文仿宋"/>
          <w:b/>
          <w:bCs/>
          <w:sz w:val="28"/>
          <w:szCs w:val="28"/>
        </w:rPr>
      </w:pPr>
    </w:p>
    <w:p>
      <w:pPr>
        <w:numPr>
          <w:ilvl w:val="0"/>
          <w:numId w:val="1"/>
        </w:numPr>
        <w:spacing w:line="288" w:lineRule="auto"/>
        <w:jc w:val="left"/>
        <w:outlineLvl w:val="1"/>
        <w:rPr>
          <w:rFonts w:hint="eastAsia" w:ascii="华文仿宋" w:hAnsi="华文仿宋" w:eastAsia="华文仿宋" w:cs="华文仿宋"/>
          <w:b/>
          <w:bCs/>
          <w:sz w:val="28"/>
          <w:szCs w:val="28"/>
        </w:rPr>
      </w:pPr>
      <w:r>
        <w:rPr>
          <w:rFonts w:hint="eastAsia" w:ascii="华文仿宋" w:hAnsi="华文仿宋" w:eastAsia="华文仿宋" w:cs="华文仿宋"/>
          <w:b/>
          <w:bCs/>
          <w:sz w:val="28"/>
          <w:szCs w:val="28"/>
        </w:rPr>
        <w:t>产品资质要求</w:t>
      </w:r>
      <w:bookmarkStart w:id="1" w:name="_Toc213923297"/>
    </w:p>
    <w:p>
      <w:pPr>
        <w:numPr>
          <w:numId w:val="0"/>
        </w:numPr>
        <w:spacing w:line="288" w:lineRule="auto"/>
        <w:jc w:val="left"/>
        <w:outlineLvl w:val="1"/>
        <w:rPr>
          <w:rFonts w:hint="eastAsia" w:ascii="华文仿宋" w:hAnsi="华文仿宋" w:eastAsia="华文仿宋" w:cs="华文仿宋"/>
          <w:lang w:eastAsia="zh-CN"/>
        </w:rPr>
      </w:pPr>
      <w:r>
        <w:rPr>
          <w:rFonts w:hint="eastAsia" w:ascii="华文仿宋" w:hAnsi="华文仿宋" w:eastAsia="华文仿宋" w:cs="华文仿宋"/>
        </w:rPr>
        <w:t>1.</w:t>
      </w:r>
      <w:bookmarkEnd w:id="1"/>
      <w:r>
        <w:rPr>
          <w:rFonts w:hint="eastAsia" w:ascii="华文仿宋" w:hAnsi="华文仿宋" w:eastAsia="华文仿宋" w:cs="华文仿宋"/>
        </w:rPr>
        <w:t>平台具备CMA/CNAS标识的第三方检测报告，至少包含报告首页，功能测试结果页和报告尾页（检测报告编号需在国家市场监管理总局全国认证认可信息公共服务平台查询并截图佐证材料</w:t>
      </w:r>
      <w:r>
        <w:rPr>
          <w:rFonts w:hint="eastAsia" w:ascii="华文仿宋" w:hAnsi="华文仿宋" w:eastAsia="华文仿宋" w:cs="华文仿宋"/>
          <w:lang w:eastAsia="zh-CN"/>
        </w:rPr>
        <w:t>）</w:t>
      </w:r>
    </w:p>
    <w:p>
      <w:pPr>
        <w:pStyle w:val="7"/>
        <w:ind w:left="0" w:leftChars="0" w:firstLine="0" w:firstLineChars="0"/>
        <w:rPr>
          <w:rFonts w:hint="eastAsia" w:ascii="华文仿宋" w:hAnsi="华文仿宋" w:eastAsia="华文仿宋" w:cs="华文仿宋"/>
        </w:rPr>
      </w:pPr>
      <w:r>
        <w:rPr>
          <w:rFonts w:hint="eastAsia" w:ascii="华文仿宋" w:hAnsi="华文仿宋" w:eastAsia="华文仿宋" w:cs="华文仿宋"/>
        </w:rPr>
        <w:t>2.平台具备网络关键设备和网络安全专用产品安全认证证书</w:t>
      </w:r>
    </w:p>
    <w:p>
      <w:pPr>
        <w:pStyle w:val="7"/>
        <w:ind w:left="0" w:leftChars="0" w:firstLine="0" w:firstLineChars="0"/>
        <w:rPr>
          <w:rFonts w:hint="eastAsia" w:ascii="华文仿宋" w:hAnsi="华文仿宋" w:eastAsia="华文仿宋" w:cs="华文仿宋"/>
        </w:rPr>
      </w:pPr>
      <w:r>
        <w:rPr>
          <w:rFonts w:hint="eastAsia" w:ascii="华文仿宋" w:hAnsi="华文仿宋" w:eastAsia="华文仿宋" w:cs="华文仿宋"/>
        </w:rPr>
        <w:t>3.权限管控模块具备涉密信息系统产品检测证书</w:t>
      </w:r>
    </w:p>
    <w:p>
      <w:pPr>
        <w:pStyle w:val="7"/>
        <w:ind w:left="0" w:leftChars="0" w:firstLine="0" w:firstLineChars="0"/>
        <w:rPr>
          <w:rFonts w:hint="eastAsia" w:ascii="华文仿宋" w:hAnsi="华文仿宋" w:eastAsia="华文仿宋" w:cs="华文仿宋"/>
        </w:rPr>
      </w:pPr>
      <w:r>
        <w:rPr>
          <w:rFonts w:hint="eastAsia" w:ascii="华文仿宋" w:hAnsi="华文仿宋" w:eastAsia="华文仿宋" w:cs="华文仿宋"/>
        </w:rPr>
        <w:t>4.权限管控模块至少具备达梦、神舟通用、瀚高等五种以上的国产数据库兼容证书；</w:t>
      </w:r>
    </w:p>
    <w:p>
      <w:pPr>
        <w:pStyle w:val="7"/>
        <w:ind w:left="0" w:leftChars="0" w:firstLine="0" w:firstLineChars="0"/>
        <w:rPr>
          <w:rFonts w:hint="eastAsia" w:ascii="华文仿宋" w:hAnsi="华文仿宋" w:eastAsia="华文仿宋" w:cs="华文仿宋"/>
        </w:rPr>
      </w:pPr>
      <w:r>
        <w:rPr>
          <w:rFonts w:hint="eastAsia" w:ascii="华文仿宋" w:hAnsi="华文仿宋" w:eastAsia="华文仿宋" w:cs="华文仿宋"/>
        </w:rPr>
        <w:t>5.API审计模块具备信息技术产品适配性证书</w:t>
      </w:r>
    </w:p>
    <w:p>
      <w:pPr>
        <w:rPr>
          <w:rFonts w:hint="default"/>
          <w:lang w:val="en-US" w:eastAsia="zh-CN"/>
        </w:rPr>
      </w:pPr>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方正兰亭黑简体">
    <w:altName w:val="黑体"/>
    <w:panose1 w:val="00000000000000000000"/>
    <w:charset w:val="86"/>
    <w:family w:val="auto"/>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59BF50"/>
    <w:multiLevelType w:val="singleLevel"/>
    <w:tmpl w:val="E259BF50"/>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437E00"/>
    <w:rsid w:val="25D60E28"/>
    <w:rsid w:val="2F437E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3"/>
    <w:next w:val="3"/>
    <w:qFormat/>
    <w:uiPriority w:val="99"/>
    <w:pPr>
      <w:keepNext/>
      <w:keepLines/>
      <w:spacing w:line="360" w:lineRule="auto"/>
    </w:pPr>
    <w:rPr>
      <w:rFonts w:ascii="Tahoma" w:hAnsi="Tahoma" w:cs="Tahoma"/>
      <w:bCs/>
      <w:kern w:val="44"/>
      <w:sz w:val="30"/>
      <w:szCs w:val="44"/>
    </w:rPr>
  </w:style>
  <w:style w:type="character" w:default="1" w:styleId="10">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3">
    <w:name w:val="Title"/>
    <w:basedOn w:val="1"/>
    <w:next w:val="1"/>
    <w:qFormat/>
    <w:uiPriority w:val="0"/>
    <w:pPr>
      <w:spacing w:before="240" w:after="60"/>
      <w:jc w:val="center"/>
      <w:outlineLvl w:val="0"/>
    </w:pPr>
    <w:rPr>
      <w:rFonts w:ascii="Arial" w:hAnsi="Arial"/>
      <w:b/>
      <w:sz w:val="32"/>
    </w:rPr>
  </w:style>
  <w:style w:type="paragraph" w:styleId="4">
    <w:name w:val="Body Text"/>
    <w:basedOn w:val="1"/>
    <w:qFormat/>
    <w:uiPriority w:val="0"/>
    <w:pPr>
      <w:spacing w:after="120"/>
    </w:pPr>
    <w:rPr>
      <w:rFonts w:ascii="Tahoma" w:hAnsi="Tahoma"/>
      <w:sz w:val="28"/>
    </w:rPr>
  </w:style>
  <w:style w:type="paragraph" w:styleId="5">
    <w:name w:val="Body Text Indent"/>
    <w:basedOn w:val="1"/>
    <w:qFormat/>
    <w:uiPriority w:val="0"/>
    <w:pPr>
      <w:spacing w:after="120"/>
      <w:ind w:left="420" w:leftChars="200"/>
    </w:pPr>
  </w:style>
  <w:style w:type="paragraph" w:styleId="6">
    <w:name w:val="Body Text First Indent"/>
    <w:basedOn w:val="4"/>
    <w:next w:val="1"/>
    <w:qFormat/>
    <w:uiPriority w:val="0"/>
    <w:pPr>
      <w:ind w:firstLine="420" w:firstLineChars="100"/>
    </w:pPr>
  </w:style>
  <w:style w:type="paragraph" w:styleId="7">
    <w:name w:val="Body Text First Indent 2"/>
    <w:basedOn w:val="5"/>
    <w:qFormat/>
    <w:uiPriority w:val="0"/>
    <w:pPr>
      <w:ind w:firstLine="420" w:firstLineChars="200"/>
    </w:p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表格并列项"/>
    <w:basedOn w:val="1"/>
    <w:qFormat/>
    <w:uiPriority w:val="0"/>
    <w:pPr>
      <w:snapToGrid w:val="0"/>
      <w:spacing w:before="40" w:after="40" w:line="288" w:lineRule="auto"/>
      <w:contextualSpacing/>
    </w:pPr>
    <w:rPr>
      <w:rFonts w:eastAsia="方正兰亭黑简体" w:cs="Cambria"/>
    </w:rPr>
  </w:style>
  <w:style w:type="table" w:customStyle="1" w:styleId="12">
    <w:name w:val="网格型1"/>
    <w:basedOn w:val="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Office_11.8.2.10154_F1E327BC-269C-435d-A152-05C5408002CA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2025-11-25T03:00:00Z</dcterms:created>
  <dc:creator>hzsy</dc:creator>
  <cp:lastModifiedBy>hzsy</cp:lastModifiedBy>
  <dcterms:modified xsi:type="dcterms:W3CDTF">2025-11-25T03:03:06Z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ies>
</file>